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1B" w:rsidRDefault="00BA6D1B" w:rsidP="005B3AE3">
      <w:pPr>
        <w:jc w:val="center"/>
      </w:pPr>
    </w:p>
    <w:p w:rsidR="005B3AE3" w:rsidRDefault="0056594D" w:rsidP="005B3AE3">
      <w:pPr>
        <w:jc w:val="center"/>
      </w:pPr>
      <w:r>
        <w:rPr>
          <w:noProof/>
        </w:rPr>
      </w:r>
      <w:r>
        <w:rPr>
          <w:noProof/>
        </w:rPr>
        <w:pict>
          <v:roundrect id="AutoShape 843" o:spid="_x0000_s1026" style="width:489pt;height:322.8pt;visibility:visible;mso-position-horizontal-relative:char;mso-position-vertical-relative:line" arcsize="6811f" fillcolor="#4f81bd" strokecolor="#f2f2f2" strokeweight="3pt">
            <v:shadow on="t" color="#243f60" opacity=".5" offset="1pt,.74833mm"/>
            <v:textbox inset="18pt,18pt,18pt,18pt">
              <w:txbxContent>
                <w:p w:rsidR="00695890" w:rsidRPr="00BA6FF6" w:rsidRDefault="00695890" w:rsidP="00BA6FF6">
                  <w:pPr>
                    <w:jc w:val="center"/>
                    <w:rPr>
                      <w:noProof/>
                      <w:color w:val="FFFFFF" w:themeColor="background1"/>
                      <w:sz w:val="44"/>
                      <w:szCs w:val="44"/>
                    </w:rPr>
                  </w:pPr>
                  <w:r>
                    <w:rPr>
                      <w:noProof/>
                      <w:color w:val="FFFFFF" w:themeColor="background1"/>
                      <w:sz w:val="44"/>
                      <w:szCs w:val="44"/>
                    </w:rPr>
                    <w:t>Decision Document</w:t>
                  </w:r>
                </w:p>
                <w:p w:rsidR="00695890" w:rsidRPr="00BA6FF6" w:rsidRDefault="00695890" w:rsidP="005B3AE3">
                  <w:pPr>
                    <w:jc w:val="center"/>
                    <w:rPr>
                      <w:b/>
                      <w:color w:val="FFFF00"/>
                      <w:sz w:val="16"/>
                      <w:szCs w:val="16"/>
                    </w:rPr>
                  </w:pPr>
                </w:p>
                <w:p w:rsidR="00695890" w:rsidRPr="0004163C" w:rsidRDefault="00695890" w:rsidP="005B3AE3">
                  <w:pPr>
                    <w:jc w:val="center"/>
                    <w:rPr>
                      <w:b/>
                      <w:color w:val="FFFFFF"/>
                      <w:sz w:val="16"/>
                      <w:szCs w:val="16"/>
                    </w:rPr>
                  </w:pPr>
                </w:p>
                <w:p w:rsidR="00695890" w:rsidRDefault="00695890" w:rsidP="005B3AE3">
                  <w:pPr>
                    <w:jc w:val="center"/>
                    <w:rPr>
                      <w:color w:val="FFFFFF"/>
                      <w:sz w:val="72"/>
                      <w:szCs w:val="72"/>
                    </w:rPr>
                  </w:pPr>
                  <w:r w:rsidRPr="00F55886">
                    <w:rPr>
                      <w:color w:val="FFFFFF"/>
                      <w:sz w:val="72"/>
                      <w:szCs w:val="72"/>
                    </w:rPr>
                    <w:t xml:space="preserve">Coastal Migratory </w:t>
                  </w:r>
                  <w:proofErr w:type="spellStart"/>
                  <w:r w:rsidRPr="00F55886">
                    <w:rPr>
                      <w:color w:val="FFFFFF"/>
                      <w:sz w:val="72"/>
                      <w:szCs w:val="72"/>
                    </w:rPr>
                    <w:t>Pelagics</w:t>
                  </w:r>
                  <w:proofErr w:type="spellEnd"/>
                </w:p>
                <w:p w:rsidR="00695890" w:rsidRPr="00F55886" w:rsidRDefault="00695890" w:rsidP="005B3AE3">
                  <w:pPr>
                    <w:jc w:val="center"/>
                    <w:rPr>
                      <w:color w:val="FFFFFF"/>
                      <w:sz w:val="72"/>
                      <w:szCs w:val="72"/>
                    </w:rPr>
                  </w:pPr>
                  <w:r>
                    <w:rPr>
                      <w:color w:val="FFFFFF"/>
                      <w:sz w:val="72"/>
                      <w:szCs w:val="72"/>
                    </w:rPr>
                    <w:t>Framework Amendment 4</w:t>
                  </w:r>
                </w:p>
                <w:p w:rsidR="00695890" w:rsidRDefault="00695890" w:rsidP="00710728">
                  <w:pPr>
                    <w:spacing w:line="360" w:lineRule="auto"/>
                    <w:jc w:val="center"/>
                    <w:rPr>
                      <w:b/>
                      <w:color w:val="FFFFFF" w:themeColor="background1"/>
                      <w:sz w:val="32"/>
                      <w:szCs w:val="32"/>
                    </w:rPr>
                  </w:pPr>
                </w:p>
                <w:p w:rsidR="00695890" w:rsidRPr="00CD26DE" w:rsidRDefault="00695890" w:rsidP="00710728">
                  <w:pPr>
                    <w:spacing w:line="360" w:lineRule="auto"/>
                    <w:jc w:val="center"/>
                    <w:rPr>
                      <w:b/>
                      <w:color w:val="FFFFFF" w:themeColor="background1"/>
                      <w:sz w:val="32"/>
                      <w:szCs w:val="32"/>
                    </w:rPr>
                  </w:pPr>
                  <w:r>
                    <w:rPr>
                      <w:b/>
                      <w:color w:val="FFFFFF" w:themeColor="background1"/>
                      <w:sz w:val="32"/>
                      <w:szCs w:val="32"/>
                    </w:rPr>
                    <w:t>Management Measures for Atlantic Cobia</w:t>
                  </w:r>
                </w:p>
                <w:p w:rsidR="00695890" w:rsidRPr="00EE4F9F" w:rsidRDefault="00695890" w:rsidP="00710728">
                  <w:pPr>
                    <w:spacing w:line="360" w:lineRule="auto"/>
                    <w:jc w:val="center"/>
                    <w:rPr>
                      <w:color w:val="B8CCE4"/>
                      <w:sz w:val="40"/>
                      <w:szCs w:val="40"/>
                    </w:rPr>
                  </w:pPr>
                  <w:r>
                    <w:rPr>
                      <w:noProof/>
                    </w:rPr>
                    <w:drawing>
                      <wp:inline distT="0" distB="0" distL="0" distR="0">
                        <wp:extent cx="3142857" cy="100952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857" cy="1009524"/>
                                </a:xfrm>
                                <a:prstGeom prst="rect">
                                  <a:avLst/>
                                </a:prstGeom>
                              </pic:spPr>
                            </pic:pic>
                          </a:graphicData>
                        </a:graphic>
                      </wp:inline>
                    </w:drawing>
                  </w:r>
                </w:p>
                <w:p w:rsidR="00695890" w:rsidRPr="00F55886" w:rsidRDefault="00695890" w:rsidP="00395B7B">
                  <w:pPr>
                    <w:rPr>
                      <w:color w:val="FFFFFF"/>
                      <w:sz w:val="36"/>
                      <w:szCs w:val="36"/>
                    </w:rPr>
                  </w:pPr>
                </w:p>
                <w:p w:rsidR="00695890" w:rsidRDefault="00695890" w:rsidP="002449AF">
                  <w:pPr>
                    <w:ind w:left="-720"/>
                    <w:jc w:val="center"/>
                    <w:rPr>
                      <w:noProof/>
                      <w:color w:val="FFFFFF"/>
                      <w:sz w:val="44"/>
                      <w:szCs w:val="44"/>
                    </w:rPr>
                  </w:pPr>
                </w:p>
                <w:p w:rsidR="00695890" w:rsidRDefault="00695890" w:rsidP="0075770D">
                  <w:pPr>
                    <w:jc w:val="center"/>
                    <w:rPr>
                      <w:noProof/>
                      <w:color w:val="FFFFFF"/>
                      <w:sz w:val="44"/>
                      <w:szCs w:val="44"/>
                    </w:rPr>
                  </w:pPr>
                  <w:r>
                    <w:rPr>
                      <w:noProof/>
                      <w:color w:val="FFFFFF"/>
                      <w:sz w:val="44"/>
                      <w:szCs w:val="44"/>
                    </w:rPr>
                    <w:t>South Atlantic Mackerel Committee</w:t>
                  </w:r>
                </w:p>
                <w:p w:rsidR="00695890" w:rsidRPr="009F6CFF" w:rsidRDefault="00695890" w:rsidP="0075770D">
                  <w:pPr>
                    <w:jc w:val="center"/>
                    <w:rPr>
                      <w:noProof/>
                      <w:color w:val="FFFFFF"/>
                      <w:sz w:val="44"/>
                      <w:szCs w:val="44"/>
                    </w:rPr>
                  </w:pPr>
                  <w:r>
                    <w:rPr>
                      <w:noProof/>
                      <w:color w:val="FFFFFF"/>
                      <w:sz w:val="44"/>
                      <w:szCs w:val="44"/>
                    </w:rPr>
                    <w:t>March 2016</w:t>
                  </w:r>
                </w:p>
                <w:p w:rsidR="00695890" w:rsidRPr="0004163C" w:rsidRDefault="00695890" w:rsidP="005B3AE3">
                  <w:pPr>
                    <w:jc w:val="center"/>
                    <w:rPr>
                      <w:color w:val="FFFFFF"/>
                      <w:sz w:val="56"/>
                      <w:szCs w:val="56"/>
                    </w:rPr>
                  </w:pPr>
                </w:p>
              </w:txbxContent>
            </v:textbox>
            <w10:wrap type="none"/>
            <w10:anchorlock/>
          </v:roundrect>
        </w:pict>
      </w:r>
    </w:p>
    <w:p w:rsidR="005B3AE3" w:rsidRDefault="005B3AE3" w:rsidP="005B3AE3"/>
    <w:p w:rsidR="005B3AE3" w:rsidRDefault="005B3AE3" w:rsidP="005B3AE3"/>
    <w:p w:rsidR="005B3AE3" w:rsidRDefault="005B3AE3" w:rsidP="005B3AE3"/>
    <w:p w:rsidR="005B3AE3" w:rsidRDefault="005B3AE3" w:rsidP="005B3AE3">
      <w:pPr>
        <w:jc w:val="center"/>
        <w:rPr>
          <w:noProof/>
          <w:szCs w:val="24"/>
        </w:rPr>
      </w:pPr>
    </w:p>
    <w:p w:rsidR="005B3AE3" w:rsidRDefault="005B3AE3" w:rsidP="005B3AE3">
      <w:pPr>
        <w:ind w:left="1440"/>
        <w:rPr>
          <w:noProof/>
          <w:szCs w:val="24"/>
        </w:rPr>
      </w:pPr>
    </w:p>
    <w:p w:rsidR="005B3AE3" w:rsidRDefault="005325AB" w:rsidP="005325AB">
      <w:pPr>
        <w:ind w:left="2880" w:firstLine="720"/>
        <w:rPr>
          <w:rFonts w:ascii="Rosewood Std Regular" w:hAnsi="Rosewood Std Regular"/>
          <w:noProof/>
          <w:color w:val="FF0000"/>
          <w:sz w:val="96"/>
          <w:szCs w:val="96"/>
        </w:rPr>
      </w:pPr>
      <w:r>
        <w:rPr>
          <w:noProof/>
        </w:rPr>
        <w:drawing>
          <wp:inline distT="0" distB="0" distL="0" distR="0">
            <wp:extent cx="172212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120" cy="1668780"/>
                    </a:xfrm>
                    <a:prstGeom prst="rect">
                      <a:avLst/>
                    </a:prstGeom>
                    <a:noFill/>
                    <a:ln>
                      <a:noFill/>
                    </a:ln>
                  </pic:spPr>
                </pic:pic>
              </a:graphicData>
            </a:graphic>
          </wp:inline>
        </w:drawing>
      </w:r>
    </w:p>
    <w:p w:rsidR="004C04EE" w:rsidRDefault="004C04EE" w:rsidP="005B3AE3">
      <w:pPr>
        <w:rPr>
          <w:b/>
          <w:sz w:val="28"/>
          <w:szCs w:val="28"/>
        </w:rPr>
      </w:pPr>
    </w:p>
    <w:p w:rsidR="005B3AE3" w:rsidRDefault="005B3AE3" w:rsidP="005B3AE3">
      <w:pPr>
        <w:rPr>
          <w:b/>
          <w:sz w:val="28"/>
          <w:szCs w:val="28"/>
        </w:rPr>
      </w:pPr>
    </w:p>
    <w:p w:rsidR="001400EE" w:rsidRDefault="007D3739" w:rsidP="001400EE">
      <w:pPr>
        <w:jc w:val="center"/>
        <w:rPr>
          <w:b/>
          <w:sz w:val="28"/>
          <w:szCs w:val="28"/>
        </w:rPr>
      </w:pPr>
      <w:r>
        <w:rPr>
          <w:b/>
          <w:sz w:val="28"/>
          <w:szCs w:val="28"/>
        </w:rPr>
        <w:t>May 25</w:t>
      </w:r>
      <w:r w:rsidR="00341D5E" w:rsidRPr="00422DEB">
        <w:rPr>
          <w:b/>
          <w:sz w:val="28"/>
          <w:szCs w:val="28"/>
        </w:rPr>
        <w:t>, 2016</w:t>
      </w:r>
    </w:p>
    <w:p w:rsidR="001400EE" w:rsidRDefault="001400EE" w:rsidP="001400EE">
      <w:pPr>
        <w:jc w:val="center"/>
        <w:rPr>
          <w:b/>
          <w:sz w:val="28"/>
          <w:szCs w:val="28"/>
        </w:rPr>
      </w:pPr>
    </w:p>
    <w:p w:rsidR="001400EE" w:rsidRPr="001400EE" w:rsidRDefault="001400EE" w:rsidP="001400EE">
      <w:pPr>
        <w:jc w:val="center"/>
        <w:rPr>
          <w:rStyle w:val="Heading1Char1"/>
          <w:rFonts w:eastAsia="Calibri"/>
          <w:bCs w:val="0"/>
          <w:kern w:val="0"/>
          <w:szCs w:val="28"/>
          <w:u w:val="none"/>
          <w:lang w:val="en-US" w:eastAsia="en-US"/>
        </w:rPr>
      </w:pPr>
    </w:p>
    <w:p w:rsidR="00D9272A" w:rsidRPr="00487007" w:rsidRDefault="00487007" w:rsidP="001E52CF">
      <w:pPr>
        <w:pStyle w:val="Heading1"/>
        <w:rPr>
          <w:lang w:val="en-US"/>
        </w:rPr>
      </w:pPr>
      <w:r>
        <w:rPr>
          <w:lang w:val="en-US"/>
        </w:rPr>
        <w:lastRenderedPageBreak/>
        <w:t>BACKGROUND</w:t>
      </w:r>
    </w:p>
    <w:p w:rsidR="004B5FB8" w:rsidRDefault="004B5FB8" w:rsidP="004B5FB8">
      <w:bookmarkStart w:id="0" w:name="_Toc307492020"/>
      <w:r>
        <w:t>Recreational cobia landings for the Atlantic migratory group (Georgia to New York</w:t>
      </w:r>
      <w:r>
        <w:rPr>
          <w:rStyle w:val="FootnoteReference"/>
        </w:rPr>
        <w:footnoteReference w:id="1"/>
      </w:r>
      <w:r>
        <w:t xml:space="preserve">, </w:t>
      </w:r>
      <w:r w:rsidRPr="004B5FB8">
        <w:rPr>
          <w:b/>
        </w:rPr>
        <w:t>Figure 1</w:t>
      </w:r>
      <w:r>
        <w:t xml:space="preserve">) in 2015 exceeded the recreational annual catch limit of 630,000 lbs.  The current accountability measure (AM) for cobia states </w:t>
      </w:r>
      <w:r w:rsidRPr="008D787C">
        <w:t>requires that if the sum of the recreational and commercial landings exceed the stock ACL (recreational ACL plus commercial ACL)</w:t>
      </w:r>
      <w:r>
        <w:t>,</w:t>
      </w:r>
      <w:r w:rsidRPr="008D787C">
        <w:t xml:space="preserve"> the AM is triggered.  In this case, the National Marine Fisheries Service (NMFS) must file a notice at or near the beginning of the following fishing year to reduce the length of the recreational season by the amount necessary to ensure recreational landings may achieve the recreational ACT, but do not exceed the recreational ACL.  </w:t>
      </w:r>
    </w:p>
    <w:p w:rsidR="004B5FB8" w:rsidRDefault="004B5FB8" w:rsidP="004B5FB8"/>
    <w:p w:rsidR="004B5FB8" w:rsidRDefault="004B5FB8" w:rsidP="004B5FB8">
      <w:r w:rsidRPr="008D787C">
        <w:t xml:space="preserve">To determine whether an ACL has been exceeded, </w:t>
      </w:r>
      <w:r>
        <w:t xml:space="preserve">CMP </w:t>
      </w:r>
      <w:r w:rsidRPr="008D787C">
        <w:t xml:space="preserve">Amendment 18 </w:t>
      </w:r>
      <w:r>
        <w:t xml:space="preserve">(GMFMC/SAFMC 2011) </w:t>
      </w:r>
      <w:r w:rsidRPr="008D787C">
        <w:t>required using 2011 landings in the first year, then the average of 2011</w:t>
      </w:r>
      <w:r w:rsidR="00C7325B">
        <w:t xml:space="preserve">/12 in the second year, and then </w:t>
      </w:r>
      <w:r w:rsidRPr="008D787C">
        <w:t>a three-year average of landings in the third year onwards, unless an ACL changed</w:t>
      </w:r>
      <w:r w:rsidR="00C7325B">
        <w:t xml:space="preserve">. </w:t>
      </w:r>
      <w:proofErr w:type="gramStart"/>
      <w:r w:rsidR="00C7325B">
        <w:t xml:space="preserve">In this case, </w:t>
      </w:r>
      <w:r w:rsidRPr="008D787C">
        <w:t>which the first single year of landings will be compared to the ACL.</w:t>
      </w:r>
      <w:proofErr w:type="gramEnd"/>
      <w:r w:rsidRPr="008D787C">
        <w:t xml:space="preserve">  Because </w:t>
      </w:r>
      <w:r>
        <w:t xml:space="preserve">CMP </w:t>
      </w:r>
      <w:r w:rsidRPr="008D787C">
        <w:t>Amendment 20B</w:t>
      </w:r>
      <w:r>
        <w:t xml:space="preserve"> (GMFMC/SAFMC 2013)</w:t>
      </w:r>
      <w:r w:rsidRPr="008D787C">
        <w:t xml:space="preserve"> changed the ACL beginning in 2015 (based on the </w:t>
      </w:r>
      <w:r w:rsidR="00C7325B">
        <w:t>SEDA</w:t>
      </w:r>
      <w:r>
        <w:t xml:space="preserve">R 28 (2013) </w:t>
      </w:r>
      <w:r w:rsidRPr="008D787C">
        <w:t xml:space="preserve">stock assessment), only the 2015 landings are used to determine whether the recreational or stock ACL was exceeded such that the AM is triggered.  For 2015, both the recreational ACL and the stock ACL were exceeded, and thus, </w:t>
      </w:r>
      <w:r>
        <w:t xml:space="preserve">NMFS reduced </w:t>
      </w:r>
      <w:r w:rsidRPr="008D787C">
        <w:t xml:space="preserve">the length of the 2016 fishing season. </w:t>
      </w:r>
    </w:p>
    <w:p w:rsidR="004B5FB8" w:rsidRDefault="004B5FB8" w:rsidP="004B5FB8"/>
    <w:p w:rsidR="004B5FB8" w:rsidRDefault="004B5FB8" w:rsidP="004B5FB8">
      <w:r>
        <w:t xml:space="preserve">On March 9, 2016, NMFS announced that the 2016 recreational season for Atlantic cobia would close on June 20, 2016. Because the closure would at the time of year when recreational fishing for cobia is highest, the early closure is expected to have negative social and economic impacts on recreational anglers, for-hire businesses, for-hire clients, and associated support businesses such as tackle shops. The negative effects of the closure will likely be most significant for recreational fishermen and businesses </w:t>
      </w:r>
      <w:r w:rsidR="00E30A09">
        <w:t>in North Carolina and Virginia (</w:t>
      </w:r>
      <w:r w:rsidR="00E30A09" w:rsidRPr="00E30A09">
        <w:rPr>
          <w:b/>
        </w:rPr>
        <w:t>Table 1</w:t>
      </w:r>
      <w:r w:rsidR="00E30A09">
        <w:t>).</w:t>
      </w:r>
    </w:p>
    <w:p w:rsidR="00E30A09" w:rsidRDefault="00E30A09" w:rsidP="00E30A09">
      <w:pPr>
        <w:pStyle w:val="Tabletitle"/>
        <w:rPr>
          <w:b/>
        </w:rPr>
      </w:pPr>
      <w:bookmarkStart w:id="1" w:name="_Toc451774458"/>
    </w:p>
    <w:p w:rsidR="00E30A09" w:rsidRDefault="00E30A09" w:rsidP="00E30A09">
      <w:pPr>
        <w:pStyle w:val="Tabletitle"/>
      </w:pPr>
      <w:proofErr w:type="gramStart"/>
      <w:r>
        <w:rPr>
          <w:b/>
        </w:rPr>
        <w:t>Table 1</w:t>
      </w:r>
      <w:r>
        <w:t>.</w:t>
      </w:r>
      <w:proofErr w:type="gramEnd"/>
      <w:r>
        <w:t xml:space="preserve"> </w:t>
      </w:r>
      <w:proofErr w:type="gramStart"/>
      <w:r>
        <w:t>Recreational landings of Atlantic cobia from 2005-2015.</w:t>
      </w:r>
      <w:proofErr w:type="gramEnd"/>
      <w:r>
        <w:t xml:space="preserve"> Data sources: MRIP and SEFSC</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69"/>
        <w:gridCol w:w="1779"/>
        <w:gridCol w:w="1724"/>
        <w:gridCol w:w="1787"/>
        <w:gridCol w:w="2337"/>
      </w:tblGrid>
      <w:tr w:rsidR="00E30A09" w:rsidRPr="00E127DC" w:rsidTr="00695890">
        <w:trPr>
          <w:trHeight w:val="288"/>
        </w:trPr>
        <w:tc>
          <w:tcPr>
            <w:tcW w:w="437"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Year</w:t>
            </w:r>
          </w:p>
        </w:tc>
        <w:tc>
          <w:tcPr>
            <w:tcW w:w="859"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VA Landings</w:t>
            </w:r>
          </w:p>
        </w:tc>
        <w:tc>
          <w:tcPr>
            <w:tcW w:w="864"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NC Landings</w:t>
            </w:r>
          </w:p>
        </w:tc>
        <w:tc>
          <w:tcPr>
            <w:tcW w:w="837"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SC Landings</w:t>
            </w:r>
          </w:p>
        </w:tc>
        <w:tc>
          <w:tcPr>
            <w:tcW w:w="868"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GA Landings</w:t>
            </w:r>
          </w:p>
        </w:tc>
        <w:tc>
          <w:tcPr>
            <w:tcW w:w="1135" w:type="pct"/>
            <w:shd w:val="clear" w:color="auto" w:fill="auto"/>
            <w:noWrap/>
            <w:vAlign w:val="bottom"/>
            <w:hideMark/>
          </w:tcPr>
          <w:p w:rsidR="00E30A09" w:rsidRPr="00E127DC" w:rsidRDefault="00E30A09" w:rsidP="00695890">
            <w:pPr>
              <w:rPr>
                <w:rFonts w:ascii="Calibri" w:eastAsia="Times New Roman" w:hAnsi="Calibri"/>
                <w:color w:val="000000"/>
                <w:sz w:val="22"/>
              </w:rPr>
            </w:pPr>
            <w:r w:rsidRPr="00E127DC">
              <w:rPr>
                <w:rFonts w:ascii="Calibri" w:eastAsia="Times New Roman" w:hAnsi="Calibri"/>
                <w:color w:val="000000"/>
                <w:sz w:val="22"/>
              </w:rPr>
              <w:t>TOTAL ATLANTIC</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2005</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577,284</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322,272</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5,793</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3,358</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908,707</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2006</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733,740</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104,259</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101,018</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4,824</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943,841</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2007</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322,887</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90,197</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268,677</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64,708</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746,469</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2008</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167,949</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66,258</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50,108</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257,690</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542,006</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2009</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552,995</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123,061</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76,229</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3,997</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756,282</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2010</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232,987</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561,486</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65,688</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79,855</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940,015</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2011</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136,859</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121,689</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3,565</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90,375</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352,488</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2012</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36,409</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68,657</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224,365</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105,193</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434,623</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2013</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354,463</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492,969</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19,130</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29,224</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895,786</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2014</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214,427</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277,489</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31,927</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20,642</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544,485</w:t>
            </w:r>
          </w:p>
        </w:tc>
      </w:tr>
      <w:tr w:rsidR="00E30A09" w:rsidRPr="00E127DC" w:rsidTr="00695890">
        <w:trPr>
          <w:trHeight w:val="288"/>
        </w:trPr>
        <w:tc>
          <w:tcPr>
            <w:tcW w:w="4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2015</w:t>
            </w:r>
          </w:p>
        </w:tc>
        <w:tc>
          <w:tcPr>
            <w:tcW w:w="859"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718,647</w:t>
            </w:r>
          </w:p>
        </w:tc>
        <w:tc>
          <w:tcPr>
            <w:tcW w:w="864"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630,373</w:t>
            </w:r>
          </w:p>
        </w:tc>
        <w:tc>
          <w:tcPr>
            <w:tcW w:w="837"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123,952</w:t>
            </w:r>
          </w:p>
        </w:tc>
        <w:tc>
          <w:tcPr>
            <w:tcW w:w="868"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67,804</w:t>
            </w:r>
          </w:p>
        </w:tc>
        <w:tc>
          <w:tcPr>
            <w:tcW w:w="1135" w:type="pct"/>
            <w:shd w:val="clear" w:color="auto" w:fill="auto"/>
            <w:noWrap/>
            <w:vAlign w:val="bottom"/>
            <w:hideMark/>
          </w:tcPr>
          <w:p w:rsidR="00E30A09" w:rsidRPr="00E127DC" w:rsidRDefault="00E30A09" w:rsidP="00695890">
            <w:pPr>
              <w:jc w:val="right"/>
              <w:rPr>
                <w:rFonts w:ascii="Calibri" w:eastAsia="Times New Roman" w:hAnsi="Calibri"/>
                <w:color w:val="000000"/>
                <w:sz w:val="22"/>
              </w:rPr>
            </w:pPr>
            <w:r w:rsidRPr="00E127DC">
              <w:rPr>
                <w:rFonts w:ascii="Calibri" w:eastAsia="Times New Roman" w:hAnsi="Calibri"/>
                <w:color w:val="000000"/>
                <w:sz w:val="22"/>
              </w:rPr>
              <w:t>1,540,776</w:t>
            </w:r>
          </w:p>
        </w:tc>
      </w:tr>
    </w:tbl>
    <w:p w:rsidR="00E30A09" w:rsidRPr="008E6187" w:rsidRDefault="00E30A09" w:rsidP="00E30A09">
      <w:pPr>
        <w:rPr>
          <w:sz w:val="20"/>
        </w:rPr>
      </w:pPr>
      <w:r w:rsidRPr="008E6187">
        <w:rPr>
          <w:sz w:val="20"/>
        </w:rPr>
        <w:t xml:space="preserve">* There are no MRIP-estimated recreational landings of Atlantic cobia in states north of Virginia. </w:t>
      </w:r>
    </w:p>
    <w:p w:rsidR="004B5FB8" w:rsidRDefault="004B5FB8" w:rsidP="004B5FB8"/>
    <w:p w:rsidR="004B5FB8" w:rsidRDefault="004B5FB8" w:rsidP="004B5FB8">
      <w:r>
        <w:rPr>
          <w:noProof/>
        </w:rPr>
        <w:lastRenderedPageBreak/>
        <w:drawing>
          <wp:inline distT="0" distB="0" distL="0" distR="0">
            <wp:extent cx="6038850" cy="66117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biamap2.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55132" cy="6629594"/>
                    </a:xfrm>
                    <a:prstGeom prst="rect">
                      <a:avLst/>
                    </a:prstGeom>
                  </pic:spPr>
                </pic:pic>
              </a:graphicData>
            </a:graphic>
          </wp:inline>
        </w:drawing>
      </w:r>
    </w:p>
    <w:p w:rsidR="004B5FB8" w:rsidRPr="00734646" w:rsidRDefault="004B5FB8" w:rsidP="004B5FB8">
      <w:pPr>
        <w:pStyle w:val="Figuretitle"/>
      </w:pPr>
      <w:bookmarkStart w:id="2" w:name="_Toc451721459"/>
      <w:proofErr w:type="gramStart"/>
      <w:r w:rsidRPr="00734646">
        <w:rPr>
          <w:b/>
        </w:rPr>
        <w:t>Figure 1</w:t>
      </w:r>
      <w:r w:rsidRPr="00734646">
        <w:t>.</w:t>
      </w:r>
      <w:proofErr w:type="gramEnd"/>
      <w:r w:rsidRPr="00734646">
        <w:t xml:space="preserve"> Boundary between Atlantic and Gulf group cobia</w:t>
      </w:r>
      <w:bookmarkEnd w:id="2"/>
      <w:r w:rsidRPr="00734646">
        <w:t xml:space="preserve"> </w:t>
      </w:r>
    </w:p>
    <w:p w:rsidR="00C7325B" w:rsidRDefault="00C7325B" w:rsidP="00E30A09"/>
    <w:p w:rsidR="00E30A09" w:rsidRPr="008D787C" w:rsidRDefault="00E30A09" w:rsidP="00E30A09">
      <w:r>
        <w:t xml:space="preserve">The South Atlantic Council is considering changes to management measures for Atlantic cobia harvest in the EEZ. The changes are expected </w:t>
      </w:r>
      <w:r w:rsidRPr="00163C3B">
        <w:rPr>
          <w:b/>
          <w:highlight w:val="yellow"/>
        </w:rPr>
        <w:t>to extend the recreational fishing season</w:t>
      </w:r>
      <w:r>
        <w:t xml:space="preserve"> and </w:t>
      </w:r>
      <w:r w:rsidRPr="00163C3B">
        <w:rPr>
          <w:b/>
          <w:highlight w:val="yellow"/>
        </w:rPr>
        <w:t>to provide fair access to the Atlantic cobia resource</w:t>
      </w:r>
      <w:r>
        <w:t xml:space="preserve"> for fishermen in all states. Additionally, the South Atlantic Council is also considering modifying the recreational AMs to be consistent with AMs for other species. Changes to the commercial management measures will contribute to minimizing the likelihood that the commercial ACL will be exceeded in the future.</w:t>
      </w:r>
    </w:p>
    <w:p w:rsidR="004B5FB8" w:rsidRDefault="004B5FB8" w:rsidP="004B5FB8"/>
    <w:p w:rsidR="00DD32F2" w:rsidRPr="00487007" w:rsidRDefault="004B5FB8" w:rsidP="00DD32F2">
      <w:pPr>
        <w:pStyle w:val="Heading1"/>
        <w:rPr>
          <w:lang w:val="en-US"/>
        </w:rPr>
      </w:pPr>
      <w:r w:rsidRPr="004B5FB8">
        <w:rPr>
          <w:i/>
          <w:lang w:val="en-US"/>
        </w:rPr>
        <w:lastRenderedPageBreak/>
        <w:t xml:space="preserve">DRAFT </w:t>
      </w:r>
      <w:r w:rsidR="00DD32F2">
        <w:rPr>
          <w:lang w:val="en-US"/>
        </w:rPr>
        <w:t>PURPOSE AND NEED</w:t>
      </w:r>
    </w:p>
    <w:p w:rsidR="004B5FB8" w:rsidRPr="00AD40F6" w:rsidRDefault="004B5FB8" w:rsidP="004B5FB8">
      <w:pPr>
        <w:rPr>
          <w:rFonts w:ascii="Arial" w:hAnsi="Arial" w:cs="Arial"/>
          <w:b/>
        </w:rPr>
      </w:pPr>
    </w:p>
    <w:p w:rsidR="004B5FB8" w:rsidRDefault="004B5FB8" w:rsidP="004B5FB8">
      <w:r>
        <w:t xml:space="preserve">The purpose of this amendment is to revise the management measures for Atlantic migratory group cobia to ensure consistent, stable and equitable fishing opportunities for all participants in the Atlantic cobia fishery. </w:t>
      </w:r>
    </w:p>
    <w:p w:rsidR="004B5FB8" w:rsidRDefault="004B5FB8" w:rsidP="004B5FB8"/>
    <w:p w:rsidR="004B5FB8" w:rsidRDefault="004B5FB8" w:rsidP="004B5FB8">
      <w:r>
        <w:t xml:space="preserve">The need for this amendment is to respond to changing fishery characteristics for Atlantic migratory group cobia, while increasing social and economic benefits of the CMP fishery through sustainable fishing opportunities and harvest of Atlantic migratory group cobia. </w:t>
      </w:r>
    </w:p>
    <w:p w:rsidR="00DD32F2" w:rsidRPr="00DD32F2" w:rsidRDefault="00DD32F2" w:rsidP="00DD32F2">
      <w:pPr>
        <w:rPr>
          <w:rFonts w:ascii="Cambria" w:hAnsi="Cambria"/>
          <w:szCs w:val="24"/>
        </w:rPr>
      </w:pPr>
    </w:p>
    <w:p w:rsidR="00DD32F2" w:rsidRPr="0041651C" w:rsidRDefault="00DD32F2" w:rsidP="00DD32F2">
      <w:pPr>
        <w:pStyle w:val="Heading2"/>
        <w:rPr>
          <w:b/>
        </w:rPr>
      </w:pPr>
      <w:r>
        <w:rPr>
          <w:b/>
        </w:rPr>
        <w:t>COMMITTEE ACTION</w:t>
      </w:r>
    </w:p>
    <w:p w:rsidR="00DD32F2" w:rsidRDefault="00DD32F2" w:rsidP="00DD32F2">
      <w:pPr>
        <w:rPr>
          <w:sz w:val="28"/>
          <w:szCs w:val="28"/>
        </w:rPr>
      </w:pPr>
      <w:r w:rsidRPr="0041651C">
        <w:rPr>
          <w:sz w:val="28"/>
          <w:szCs w:val="28"/>
        </w:rPr>
        <w:t xml:space="preserve">1) </w:t>
      </w:r>
      <w:r>
        <w:rPr>
          <w:sz w:val="28"/>
          <w:szCs w:val="28"/>
        </w:rPr>
        <w:t xml:space="preserve"> Review</w:t>
      </w:r>
      <w:r w:rsidR="001663C5">
        <w:rPr>
          <w:sz w:val="28"/>
          <w:szCs w:val="28"/>
        </w:rPr>
        <w:t>, revise,</w:t>
      </w:r>
      <w:r>
        <w:rPr>
          <w:sz w:val="28"/>
          <w:szCs w:val="28"/>
        </w:rPr>
        <w:t xml:space="preserve"> and approve the Purpose</w:t>
      </w:r>
      <w:r w:rsidR="004B5FB8">
        <w:rPr>
          <w:sz w:val="28"/>
          <w:szCs w:val="28"/>
        </w:rPr>
        <w:t xml:space="preserve"> and Need</w:t>
      </w:r>
      <w:r>
        <w:rPr>
          <w:sz w:val="28"/>
          <w:szCs w:val="28"/>
        </w:rPr>
        <w:t xml:space="preserve">. </w:t>
      </w:r>
    </w:p>
    <w:p w:rsidR="001663C5" w:rsidRDefault="001663C5" w:rsidP="00DD32F2">
      <w:pPr>
        <w:rPr>
          <w:sz w:val="28"/>
          <w:szCs w:val="28"/>
        </w:rPr>
      </w:pPr>
    </w:p>
    <w:p w:rsidR="001663C5" w:rsidRPr="003D46E2" w:rsidRDefault="001663C5" w:rsidP="001663C5">
      <w:pPr>
        <w:pStyle w:val="Heading1"/>
        <w:rPr>
          <w:b w:val="0"/>
          <w:lang w:val="en-US"/>
        </w:rPr>
      </w:pPr>
      <w:r>
        <w:rPr>
          <w:rStyle w:val="Heading1Char1"/>
          <w:rFonts w:eastAsia="Calibri"/>
          <w:b/>
          <w:lang w:val="en-US"/>
        </w:rPr>
        <w:t xml:space="preserve">POTENTIAL </w:t>
      </w:r>
      <w:r w:rsidRPr="003D46E2">
        <w:rPr>
          <w:rStyle w:val="Heading1Char1"/>
          <w:rFonts w:eastAsia="Calibri"/>
          <w:b/>
        </w:rPr>
        <w:t xml:space="preserve">ACTIONS FOR </w:t>
      </w:r>
      <w:r>
        <w:rPr>
          <w:rStyle w:val="Heading1Char1"/>
          <w:rFonts w:eastAsia="Calibri"/>
          <w:b/>
          <w:lang w:val="en-US"/>
        </w:rPr>
        <w:t xml:space="preserve">FRAMEWORK </w:t>
      </w:r>
      <w:r>
        <w:rPr>
          <w:rStyle w:val="Heading1Char1"/>
          <w:rFonts w:eastAsia="Calibri"/>
          <w:b/>
        </w:rPr>
        <w:t>AMENDMENT 4</w:t>
      </w:r>
    </w:p>
    <w:p w:rsidR="001663C5" w:rsidRDefault="001663C5" w:rsidP="001663C5">
      <w:pPr>
        <w:pStyle w:val="ListParagraph"/>
        <w:numPr>
          <w:ilvl w:val="0"/>
          <w:numId w:val="27"/>
        </w:numPr>
        <w:spacing w:line="276" w:lineRule="auto"/>
        <w:rPr>
          <w:sz w:val="28"/>
          <w:szCs w:val="28"/>
        </w:rPr>
      </w:pPr>
      <w:r w:rsidRPr="004F36E4">
        <w:rPr>
          <w:sz w:val="28"/>
          <w:szCs w:val="28"/>
        </w:rPr>
        <w:t>Modify the</w:t>
      </w:r>
      <w:r>
        <w:rPr>
          <w:sz w:val="28"/>
          <w:szCs w:val="28"/>
        </w:rPr>
        <w:t xml:space="preserve"> recreational harvest limits (bag limit and vessel limit) and minimum size limit for Atlantic cobia</w:t>
      </w:r>
    </w:p>
    <w:p w:rsidR="001663C5" w:rsidRDefault="001663C5" w:rsidP="001663C5">
      <w:pPr>
        <w:pStyle w:val="ListParagraph"/>
        <w:numPr>
          <w:ilvl w:val="0"/>
          <w:numId w:val="27"/>
        </w:numPr>
        <w:spacing w:line="276" w:lineRule="auto"/>
        <w:rPr>
          <w:sz w:val="28"/>
          <w:szCs w:val="28"/>
        </w:rPr>
      </w:pPr>
      <w:r>
        <w:rPr>
          <w:sz w:val="28"/>
          <w:szCs w:val="28"/>
        </w:rPr>
        <w:t>Modify the fishing year for Atlantic cobia</w:t>
      </w:r>
    </w:p>
    <w:p w:rsidR="001663C5" w:rsidRDefault="001663C5" w:rsidP="001663C5">
      <w:pPr>
        <w:pStyle w:val="ListParagraph"/>
        <w:numPr>
          <w:ilvl w:val="0"/>
          <w:numId w:val="27"/>
        </w:numPr>
        <w:spacing w:line="276" w:lineRule="auto"/>
        <w:rPr>
          <w:sz w:val="28"/>
          <w:szCs w:val="28"/>
        </w:rPr>
      </w:pPr>
      <w:r>
        <w:rPr>
          <w:sz w:val="28"/>
          <w:szCs w:val="28"/>
        </w:rPr>
        <w:t>Modify the recreational accountability measures for Atlantic cobia</w:t>
      </w:r>
    </w:p>
    <w:p w:rsidR="001663C5" w:rsidRPr="003D46E2" w:rsidRDefault="001663C5" w:rsidP="001663C5">
      <w:pPr>
        <w:pStyle w:val="ListParagraph"/>
        <w:numPr>
          <w:ilvl w:val="0"/>
          <w:numId w:val="27"/>
        </w:numPr>
        <w:spacing w:line="276" w:lineRule="auto"/>
        <w:rPr>
          <w:sz w:val="28"/>
          <w:szCs w:val="28"/>
        </w:rPr>
      </w:pPr>
      <w:r>
        <w:rPr>
          <w:sz w:val="28"/>
          <w:szCs w:val="28"/>
        </w:rPr>
        <w:t>Establish a commercial trip limit for Atlantic cobia</w:t>
      </w:r>
    </w:p>
    <w:p w:rsidR="001663C5" w:rsidRDefault="001663C5" w:rsidP="001663C5"/>
    <w:p w:rsidR="001663C5" w:rsidRDefault="001663C5" w:rsidP="00DD32F2">
      <w:pPr>
        <w:rPr>
          <w:sz w:val="28"/>
          <w:szCs w:val="28"/>
        </w:rPr>
      </w:pPr>
    </w:p>
    <w:p w:rsidR="00487007" w:rsidRDefault="00487007" w:rsidP="00DD32F2">
      <w:pPr>
        <w:spacing w:after="160" w:line="259" w:lineRule="auto"/>
        <w:rPr>
          <w:rFonts w:ascii="Garamond" w:hAnsi="Garamond" w:cs="Arial"/>
          <w:b/>
          <w:bCs/>
          <w:color w:val="548DD4"/>
          <w:sz w:val="44"/>
          <w:szCs w:val="44"/>
        </w:rPr>
      </w:pPr>
      <w:r>
        <w:rPr>
          <w:rFonts w:ascii="Garamond" w:hAnsi="Garamond" w:cs="Arial"/>
          <w:b/>
          <w:bCs/>
          <w:color w:val="548DD4"/>
          <w:sz w:val="44"/>
          <w:szCs w:val="44"/>
        </w:rPr>
        <w:br w:type="page"/>
      </w:r>
    </w:p>
    <w:p w:rsidR="004B5FB8" w:rsidRDefault="004B5FB8" w:rsidP="004B5FB8">
      <w:pPr>
        <w:pStyle w:val="Heading1"/>
      </w:pPr>
      <w:bookmarkStart w:id="3" w:name="_Toc395793906"/>
      <w:bookmarkStart w:id="4" w:name="_Toc451721863"/>
      <w:bookmarkEnd w:id="0"/>
      <w:r>
        <w:rPr>
          <w:i/>
        </w:rPr>
        <w:lastRenderedPageBreak/>
        <w:t xml:space="preserve">Draft </w:t>
      </w:r>
      <w:r>
        <w:t xml:space="preserve">Action 1: </w:t>
      </w:r>
      <w:bookmarkEnd w:id="3"/>
      <w:r>
        <w:t>Modify the recreational management measures for Atlantic cobia</w:t>
      </w:r>
      <w:bookmarkEnd w:id="4"/>
    </w:p>
    <w:p w:rsidR="004B5FB8" w:rsidRDefault="004B5FB8" w:rsidP="004B5FB8">
      <w:r>
        <w:t xml:space="preserve">This action contains two sub-actions, which will be analyzed separately and in combination. </w:t>
      </w:r>
    </w:p>
    <w:p w:rsidR="004B5FB8" w:rsidRPr="004B5FB8" w:rsidRDefault="004B5FB8" w:rsidP="004B5FB8">
      <w:pPr>
        <w:pStyle w:val="Heading2"/>
        <w:rPr>
          <w:b/>
          <w:sz w:val="24"/>
        </w:rPr>
      </w:pPr>
      <w:bookmarkStart w:id="5" w:name="_Toc451721864"/>
      <w:r w:rsidRPr="004B5FB8">
        <w:rPr>
          <w:b/>
          <w:i/>
          <w:sz w:val="24"/>
        </w:rPr>
        <w:t xml:space="preserve">Draft </w:t>
      </w:r>
      <w:r w:rsidRPr="004B5FB8">
        <w:rPr>
          <w:b/>
          <w:sz w:val="24"/>
        </w:rPr>
        <w:t>Action 1-1: Modify the recreational harvest limits for Atlantic cobia</w:t>
      </w:r>
      <w:bookmarkEnd w:id="5"/>
      <w:r w:rsidRPr="004B5FB8">
        <w:rPr>
          <w:b/>
          <w:sz w:val="24"/>
        </w:rPr>
        <w:t xml:space="preserve"> </w:t>
      </w:r>
    </w:p>
    <w:p w:rsidR="004B5FB8" w:rsidRDefault="004B5FB8" w:rsidP="004B5FB8">
      <w:pPr>
        <w:ind w:left="360"/>
        <w:rPr>
          <w:b/>
        </w:rPr>
      </w:pPr>
    </w:p>
    <w:p w:rsidR="004B5FB8" w:rsidRDefault="004B5FB8" w:rsidP="004B5FB8">
      <w:pPr>
        <w:ind w:left="360"/>
      </w:pPr>
      <w:proofErr w:type="gramStart"/>
      <w:r>
        <w:rPr>
          <w:b/>
        </w:rPr>
        <w:t>Alternative 1 (No Action).</w:t>
      </w:r>
      <w:proofErr w:type="gramEnd"/>
      <w:r>
        <w:t xml:space="preserve"> Do not modify the possession limit of 2 fish per person per day for Atlantic cobia that are not sold. </w:t>
      </w:r>
    </w:p>
    <w:p w:rsidR="004B5FB8" w:rsidRDefault="004B5FB8" w:rsidP="004B5FB8">
      <w:pPr>
        <w:ind w:left="360"/>
      </w:pPr>
    </w:p>
    <w:p w:rsidR="004B5FB8" w:rsidRDefault="004B5FB8" w:rsidP="004B5FB8">
      <w:pPr>
        <w:ind w:left="360"/>
      </w:pPr>
      <w:proofErr w:type="gramStart"/>
      <w:r>
        <w:rPr>
          <w:b/>
        </w:rPr>
        <w:t>Alternative 2</w:t>
      </w:r>
      <w:r>
        <w:t>.</w:t>
      </w:r>
      <w:proofErr w:type="gramEnd"/>
      <w:r>
        <w:t xml:space="preserve">  Establish a recreational bag limit for Atlantic cobia. </w:t>
      </w:r>
    </w:p>
    <w:p w:rsidR="004B5FB8" w:rsidRDefault="004B5FB8" w:rsidP="004B5FB8">
      <w:pPr>
        <w:ind w:left="900"/>
      </w:pPr>
      <w:proofErr w:type="gramStart"/>
      <w:r>
        <w:rPr>
          <w:b/>
        </w:rPr>
        <w:t>Option 2a</w:t>
      </w:r>
      <w:r>
        <w:t>.</w:t>
      </w:r>
      <w:proofErr w:type="gramEnd"/>
      <w:r>
        <w:t xml:space="preserve"> 1 fish per person per day</w:t>
      </w:r>
    </w:p>
    <w:p w:rsidR="004B5FB8" w:rsidRDefault="004B5FB8" w:rsidP="004B5FB8">
      <w:pPr>
        <w:ind w:left="900"/>
      </w:pPr>
      <w:proofErr w:type="gramStart"/>
      <w:r>
        <w:rPr>
          <w:b/>
        </w:rPr>
        <w:t>Option 2b</w:t>
      </w:r>
      <w:r>
        <w:t>.</w:t>
      </w:r>
      <w:proofErr w:type="gramEnd"/>
      <w:r>
        <w:t xml:space="preserve"> 2 fish per person per day </w:t>
      </w:r>
    </w:p>
    <w:p w:rsidR="004B5FB8" w:rsidRDefault="004B5FB8" w:rsidP="004B5FB8"/>
    <w:p w:rsidR="004B5FB8" w:rsidRDefault="004B5FB8" w:rsidP="004B5FB8">
      <w:pPr>
        <w:ind w:left="360"/>
      </w:pPr>
      <w:proofErr w:type="gramStart"/>
      <w:r>
        <w:rPr>
          <w:b/>
        </w:rPr>
        <w:t>Alternative 3</w:t>
      </w:r>
      <w:r>
        <w:t>.</w:t>
      </w:r>
      <w:proofErr w:type="gramEnd"/>
      <w:r>
        <w:t xml:space="preserve">  Establish a recreational vessel limit for Atlantic cobia. </w:t>
      </w:r>
    </w:p>
    <w:p w:rsidR="004B5FB8" w:rsidRDefault="004B5FB8" w:rsidP="004B5FB8">
      <w:pPr>
        <w:ind w:left="900"/>
      </w:pPr>
      <w:proofErr w:type="gramStart"/>
      <w:r>
        <w:rPr>
          <w:b/>
        </w:rPr>
        <w:t>Option 3a</w:t>
      </w:r>
      <w:r>
        <w:t>.</w:t>
      </w:r>
      <w:proofErr w:type="gramEnd"/>
      <w:r>
        <w:t xml:space="preserve"> 1 fish per vessel per day</w:t>
      </w:r>
    </w:p>
    <w:p w:rsidR="004B5FB8" w:rsidRDefault="004B5FB8" w:rsidP="004B5FB8">
      <w:pPr>
        <w:ind w:left="900"/>
      </w:pPr>
      <w:proofErr w:type="gramStart"/>
      <w:r>
        <w:rPr>
          <w:b/>
        </w:rPr>
        <w:t>Option 3b</w:t>
      </w:r>
      <w:r>
        <w:t>.</w:t>
      </w:r>
      <w:proofErr w:type="gramEnd"/>
      <w:r>
        <w:t xml:space="preserve"> 2 fish per vessel per day </w:t>
      </w:r>
    </w:p>
    <w:p w:rsidR="004B5FB8" w:rsidRDefault="004B5FB8" w:rsidP="004B5FB8">
      <w:pPr>
        <w:ind w:left="900"/>
      </w:pPr>
      <w:proofErr w:type="gramStart"/>
      <w:r>
        <w:rPr>
          <w:b/>
        </w:rPr>
        <w:t>Option 3c</w:t>
      </w:r>
      <w:r>
        <w:t>.</w:t>
      </w:r>
      <w:proofErr w:type="gramEnd"/>
      <w:r>
        <w:t xml:space="preserve"> 3 fish per vessel per day </w:t>
      </w:r>
    </w:p>
    <w:p w:rsidR="004B5FB8" w:rsidRDefault="004B5FB8" w:rsidP="004B5FB8">
      <w:pPr>
        <w:ind w:left="900"/>
      </w:pPr>
      <w:proofErr w:type="gramStart"/>
      <w:r>
        <w:rPr>
          <w:b/>
        </w:rPr>
        <w:t>Option 3d</w:t>
      </w:r>
      <w:r>
        <w:t>.</w:t>
      </w:r>
      <w:proofErr w:type="gramEnd"/>
      <w:r>
        <w:t xml:space="preserve"> 4 fish per vessel per day </w:t>
      </w:r>
    </w:p>
    <w:p w:rsidR="004B5FB8" w:rsidRDefault="004B5FB8" w:rsidP="004B5FB8">
      <w:pPr>
        <w:ind w:left="900"/>
      </w:pPr>
      <w:proofErr w:type="gramStart"/>
      <w:r>
        <w:rPr>
          <w:b/>
        </w:rPr>
        <w:t>Option 3e</w:t>
      </w:r>
      <w:r>
        <w:t>.</w:t>
      </w:r>
      <w:proofErr w:type="gramEnd"/>
      <w:r>
        <w:t xml:space="preserve"> 5 fish per vessel per day</w:t>
      </w:r>
    </w:p>
    <w:p w:rsidR="004B5FB8" w:rsidRDefault="004B5FB8" w:rsidP="004B5FB8">
      <w:pPr>
        <w:ind w:left="900"/>
      </w:pPr>
      <w:proofErr w:type="gramStart"/>
      <w:r>
        <w:rPr>
          <w:b/>
        </w:rPr>
        <w:t>Option 3f</w:t>
      </w:r>
      <w:r>
        <w:t>.</w:t>
      </w:r>
      <w:proofErr w:type="gramEnd"/>
      <w:r>
        <w:t xml:space="preserve"> 6 fish per vessel per day</w:t>
      </w:r>
    </w:p>
    <w:p w:rsidR="004B5FB8" w:rsidRDefault="004B5FB8" w:rsidP="004B5FB8"/>
    <w:p w:rsidR="004B5FB8" w:rsidRDefault="004B5FB8" w:rsidP="004B5FB8">
      <w:r>
        <w:t>The Council can select options under Alternatives 2 and 3 as the preferred alternatives/options, but will need to clarify how the bag limit and vessel limit will interact. For example, the Council may select a bag limit of 1</w:t>
      </w:r>
      <w:r w:rsidR="00E30A09">
        <w:t xml:space="preserve"> </w:t>
      </w:r>
      <w:r>
        <w:t>fish per person and vessel limit of 3 fish, whichever is lower</w:t>
      </w:r>
      <w:r w:rsidR="00E30A09">
        <w:t>.</w:t>
      </w:r>
    </w:p>
    <w:p w:rsidR="004B5FB8" w:rsidRDefault="004B5FB8" w:rsidP="004B5FB8"/>
    <w:p w:rsidR="004B5FB8" w:rsidRPr="004B5FB8" w:rsidRDefault="004B5FB8" w:rsidP="004B5FB8">
      <w:pPr>
        <w:pStyle w:val="Heading2"/>
        <w:rPr>
          <w:b/>
          <w:sz w:val="24"/>
        </w:rPr>
      </w:pPr>
      <w:bookmarkStart w:id="6" w:name="_Toc451721865"/>
      <w:r w:rsidRPr="004B5FB8">
        <w:rPr>
          <w:b/>
          <w:i/>
          <w:sz w:val="24"/>
        </w:rPr>
        <w:t>Draft</w:t>
      </w:r>
      <w:r w:rsidRPr="004B5FB8">
        <w:rPr>
          <w:b/>
          <w:sz w:val="24"/>
        </w:rPr>
        <w:t xml:space="preserve"> Action 1-2: Modify the minimum size limit for recreational harvest of Atlantic cobia</w:t>
      </w:r>
      <w:bookmarkEnd w:id="6"/>
      <w:r w:rsidRPr="004B5FB8">
        <w:rPr>
          <w:b/>
          <w:sz w:val="24"/>
        </w:rPr>
        <w:t xml:space="preserve"> </w:t>
      </w:r>
    </w:p>
    <w:p w:rsidR="004B5FB8" w:rsidRPr="00BE4DF8" w:rsidRDefault="004B5FB8" w:rsidP="004B5FB8"/>
    <w:p w:rsidR="004B5FB8" w:rsidRDefault="004B5FB8" w:rsidP="004B5FB8">
      <w:pPr>
        <w:ind w:left="450"/>
      </w:pPr>
      <w:proofErr w:type="gramStart"/>
      <w:r>
        <w:rPr>
          <w:b/>
        </w:rPr>
        <w:t>Alternative 1 (No Action).</w:t>
      </w:r>
      <w:proofErr w:type="gramEnd"/>
      <w:r>
        <w:t xml:space="preserve">  Do not modify the minimum size limit of 33 inches fork length (FL) for recreational and commercial harvest of Atlantic cobia.   </w:t>
      </w:r>
    </w:p>
    <w:p w:rsidR="004B5FB8" w:rsidRDefault="004B5FB8" w:rsidP="004B5FB8">
      <w:pPr>
        <w:ind w:left="450"/>
      </w:pPr>
    </w:p>
    <w:p w:rsidR="004B5FB8" w:rsidRDefault="004B5FB8" w:rsidP="004B5FB8">
      <w:pPr>
        <w:ind w:left="450"/>
      </w:pPr>
      <w:proofErr w:type="gramStart"/>
      <w:r>
        <w:rPr>
          <w:b/>
        </w:rPr>
        <w:t>Alternative 2</w:t>
      </w:r>
      <w:r>
        <w:t>.</w:t>
      </w:r>
      <w:proofErr w:type="gramEnd"/>
      <w:r>
        <w:t xml:space="preserve">  Modify the minimum size limit for Atlantic cobia for recreational and commercial harvest of Atlantic cobia. </w:t>
      </w:r>
    </w:p>
    <w:p w:rsidR="004B5FB8" w:rsidRDefault="004B5FB8" w:rsidP="004B5FB8">
      <w:pPr>
        <w:ind w:left="900"/>
      </w:pPr>
      <w:proofErr w:type="gramStart"/>
      <w:r>
        <w:rPr>
          <w:b/>
        </w:rPr>
        <w:t xml:space="preserve">Option </w:t>
      </w:r>
      <w:r w:rsidR="009206CF">
        <w:rPr>
          <w:b/>
        </w:rPr>
        <w:t>2</w:t>
      </w:r>
      <w:r>
        <w:rPr>
          <w:b/>
        </w:rPr>
        <w:t>a</w:t>
      </w:r>
      <w:r>
        <w:t>.</w:t>
      </w:r>
      <w:proofErr w:type="gramEnd"/>
      <w:r>
        <w:t xml:space="preserve"> 34 inches FL </w:t>
      </w:r>
    </w:p>
    <w:p w:rsidR="004B5FB8" w:rsidRDefault="004B5FB8" w:rsidP="004B5FB8">
      <w:pPr>
        <w:ind w:left="900"/>
      </w:pPr>
      <w:proofErr w:type="gramStart"/>
      <w:r>
        <w:rPr>
          <w:b/>
        </w:rPr>
        <w:t xml:space="preserve">Option </w:t>
      </w:r>
      <w:r w:rsidR="009206CF">
        <w:rPr>
          <w:b/>
        </w:rPr>
        <w:t>2</w:t>
      </w:r>
      <w:r>
        <w:rPr>
          <w:b/>
        </w:rPr>
        <w:t>b</w:t>
      </w:r>
      <w:r>
        <w:t>.</w:t>
      </w:r>
      <w:proofErr w:type="gramEnd"/>
      <w:r>
        <w:t xml:space="preserve"> 35 inches FL</w:t>
      </w:r>
    </w:p>
    <w:p w:rsidR="004B5FB8" w:rsidRDefault="004B5FB8" w:rsidP="004B5FB8">
      <w:pPr>
        <w:ind w:left="900"/>
      </w:pPr>
      <w:proofErr w:type="gramStart"/>
      <w:r>
        <w:rPr>
          <w:b/>
        </w:rPr>
        <w:t xml:space="preserve">Option </w:t>
      </w:r>
      <w:r w:rsidR="009206CF">
        <w:rPr>
          <w:b/>
        </w:rPr>
        <w:t>2</w:t>
      </w:r>
      <w:r>
        <w:rPr>
          <w:b/>
        </w:rPr>
        <w:t>c</w:t>
      </w:r>
      <w:r>
        <w:t>.</w:t>
      </w:r>
      <w:proofErr w:type="gramEnd"/>
      <w:r>
        <w:t xml:space="preserve"> 36 inches FL</w:t>
      </w:r>
    </w:p>
    <w:p w:rsidR="004B5FB8" w:rsidRDefault="004B5FB8" w:rsidP="004B5FB8">
      <w:pPr>
        <w:ind w:left="900"/>
      </w:pPr>
      <w:proofErr w:type="gramStart"/>
      <w:r>
        <w:rPr>
          <w:b/>
        </w:rPr>
        <w:t xml:space="preserve">Option </w:t>
      </w:r>
      <w:r w:rsidR="009206CF">
        <w:rPr>
          <w:b/>
        </w:rPr>
        <w:t>2</w:t>
      </w:r>
      <w:r>
        <w:rPr>
          <w:b/>
        </w:rPr>
        <w:t>d</w:t>
      </w:r>
      <w:r>
        <w:t>.</w:t>
      </w:r>
      <w:proofErr w:type="gramEnd"/>
      <w:r>
        <w:t xml:space="preserve"> 37 inches FL</w:t>
      </w:r>
    </w:p>
    <w:p w:rsidR="004B5FB8" w:rsidRDefault="004B5FB8" w:rsidP="004B5FB8">
      <w:pPr>
        <w:ind w:left="900"/>
      </w:pPr>
      <w:proofErr w:type="gramStart"/>
      <w:r>
        <w:rPr>
          <w:b/>
        </w:rPr>
        <w:t xml:space="preserve">Option </w:t>
      </w:r>
      <w:r w:rsidR="009206CF">
        <w:rPr>
          <w:b/>
        </w:rPr>
        <w:t>2</w:t>
      </w:r>
      <w:r>
        <w:rPr>
          <w:b/>
        </w:rPr>
        <w:t>e</w:t>
      </w:r>
      <w:r>
        <w:t>.</w:t>
      </w:r>
      <w:proofErr w:type="gramEnd"/>
      <w:r>
        <w:t xml:space="preserve"> 38 inches FL</w:t>
      </w:r>
    </w:p>
    <w:p w:rsidR="004B5FB8" w:rsidRDefault="004B5FB8" w:rsidP="004B5FB8">
      <w:pPr>
        <w:ind w:left="900"/>
      </w:pPr>
      <w:proofErr w:type="gramStart"/>
      <w:r>
        <w:rPr>
          <w:b/>
        </w:rPr>
        <w:t xml:space="preserve">Option </w:t>
      </w:r>
      <w:r w:rsidR="009206CF">
        <w:rPr>
          <w:b/>
        </w:rPr>
        <w:t>2</w:t>
      </w:r>
      <w:r>
        <w:rPr>
          <w:b/>
        </w:rPr>
        <w:t>f</w:t>
      </w:r>
      <w:r>
        <w:t>.</w:t>
      </w:r>
      <w:proofErr w:type="gramEnd"/>
      <w:r>
        <w:t xml:space="preserve"> 39 inches FL</w:t>
      </w:r>
    </w:p>
    <w:p w:rsidR="004B5FB8" w:rsidRDefault="004B5FB8" w:rsidP="004B5FB8">
      <w:pPr>
        <w:ind w:left="900"/>
      </w:pPr>
      <w:r>
        <w:rPr>
          <w:b/>
        </w:rPr>
        <w:t xml:space="preserve">Option </w:t>
      </w:r>
      <w:r w:rsidR="009206CF">
        <w:rPr>
          <w:b/>
        </w:rPr>
        <w:t>2</w:t>
      </w:r>
      <w:r>
        <w:rPr>
          <w:b/>
        </w:rPr>
        <w:t>g</w:t>
      </w:r>
      <w:r>
        <w:t>. 45 inches FL</w:t>
      </w:r>
    </w:p>
    <w:p w:rsidR="004B5FB8" w:rsidRDefault="004B5FB8" w:rsidP="004B5FB8">
      <w:pPr>
        <w:ind w:left="900"/>
      </w:pPr>
      <w:r>
        <w:rPr>
          <w:b/>
        </w:rPr>
        <w:t xml:space="preserve">Option </w:t>
      </w:r>
      <w:r w:rsidR="009206CF">
        <w:rPr>
          <w:b/>
        </w:rPr>
        <w:t>2</w:t>
      </w:r>
      <w:r>
        <w:rPr>
          <w:b/>
        </w:rPr>
        <w:t>h</w:t>
      </w:r>
      <w:r>
        <w:t>. 50 inches FL</w:t>
      </w:r>
    </w:p>
    <w:p w:rsidR="002E691A" w:rsidRDefault="002E691A" w:rsidP="00EE0FF7">
      <w:pPr>
        <w:rPr>
          <w:b/>
          <w:u w:val="single"/>
        </w:rPr>
      </w:pPr>
    </w:p>
    <w:p w:rsidR="002E691A" w:rsidRPr="009206CF" w:rsidRDefault="009206CF" w:rsidP="00EE0FF7">
      <w:r>
        <w:rPr>
          <w:b/>
        </w:rPr>
        <w:t>NOTE:</w:t>
      </w:r>
      <w:r>
        <w:t xml:space="preserve"> The Council directed staff to include Options 2a-2f. The IPT recommends including Options 2g and 2h.  </w:t>
      </w:r>
    </w:p>
    <w:p w:rsidR="002E691A" w:rsidRDefault="002E691A" w:rsidP="00EE0FF7">
      <w:pPr>
        <w:rPr>
          <w:b/>
          <w:u w:val="single"/>
        </w:rPr>
      </w:pPr>
    </w:p>
    <w:p w:rsidR="009206CF" w:rsidRDefault="009206CF" w:rsidP="00EE0FF7">
      <w:pPr>
        <w:rPr>
          <w:b/>
          <w:u w:val="single"/>
        </w:rPr>
      </w:pPr>
    </w:p>
    <w:p w:rsidR="009206CF" w:rsidRDefault="009206CF" w:rsidP="00EE0FF7">
      <w:pPr>
        <w:rPr>
          <w:b/>
          <w:u w:val="single"/>
        </w:rPr>
      </w:pPr>
    </w:p>
    <w:p w:rsidR="009206CF" w:rsidRDefault="009206CF" w:rsidP="00EE0FF7">
      <w:pPr>
        <w:rPr>
          <w:b/>
          <w:u w:val="single"/>
        </w:rPr>
      </w:pPr>
    </w:p>
    <w:p w:rsidR="009206CF" w:rsidRDefault="009206CF" w:rsidP="00EE0FF7">
      <w:pPr>
        <w:rPr>
          <w:b/>
          <w:u w:val="single"/>
        </w:rPr>
      </w:pPr>
    </w:p>
    <w:p w:rsidR="009206CF" w:rsidRDefault="009206CF" w:rsidP="00EE0FF7">
      <w:pPr>
        <w:rPr>
          <w:b/>
          <w:u w:val="single"/>
        </w:rPr>
      </w:pPr>
    </w:p>
    <w:p w:rsidR="00E2722E" w:rsidRDefault="00E2722E" w:rsidP="009206CF">
      <w:pPr>
        <w:pStyle w:val="Tabletitle"/>
        <w:rPr>
          <w:szCs w:val="24"/>
        </w:rPr>
      </w:pPr>
      <w:bookmarkStart w:id="7" w:name="_Toc451721529"/>
      <w:r>
        <w:rPr>
          <w:b/>
        </w:rPr>
        <w:lastRenderedPageBreak/>
        <w:t xml:space="preserve">Tables 2 </w:t>
      </w:r>
      <w:r>
        <w:t xml:space="preserve">and </w:t>
      </w:r>
      <w:r>
        <w:rPr>
          <w:b/>
        </w:rPr>
        <w:t>3</w:t>
      </w:r>
      <w:r>
        <w:t xml:space="preserve"> show estimated percent decreases in recreational landings in state waters for combinations of vessel limits and minimum size limits. This analysis was pro</w:t>
      </w:r>
      <w:r w:rsidR="00FD3A1D">
        <w:t xml:space="preserve">vided by Mike Larkin, SERO staff, at an earlier date </w:t>
      </w:r>
      <w:r>
        <w:t xml:space="preserve">and </w:t>
      </w:r>
      <w:r w:rsidRPr="00E30A09">
        <w:rPr>
          <w:u w:val="single"/>
        </w:rPr>
        <w:t>will be expanded</w:t>
      </w:r>
      <w:r w:rsidR="00FD3A1D" w:rsidRPr="00E30A09">
        <w:rPr>
          <w:u w:val="single"/>
        </w:rPr>
        <w:t xml:space="preserve"> for the June 2016 meeting</w:t>
      </w:r>
      <w:r>
        <w:t xml:space="preserve"> to include all vessel limits and minimum size limits in the potential alternatives. </w:t>
      </w:r>
      <w:r w:rsidR="00FD3A1D">
        <w:rPr>
          <w:szCs w:val="24"/>
        </w:rPr>
        <w:t>The analysis used p</w:t>
      </w:r>
      <w:r w:rsidRPr="004520ED">
        <w:rPr>
          <w:szCs w:val="24"/>
        </w:rPr>
        <w:t>reliminary trip intercept data provided by the Sou</w:t>
      </w:r>
      <w:r>
        <w:rPr>
          <w:szCs w:val="24"/>
        </w:rPr>
        <w:t>theast Fisheries Science Center</w:t>
      </w:r>
      <w:r w:rsidR="00FD3A1D">
        <w:rPr>
          <w:szCs w:val="24"/>
        </w:rPr>
        <w:t xml:space="preserve">, and considered landings form 2013-2015 in the evaluation. </w:t>
      </w:r>
    </w:p>
    <w:p w:rsidR="00FD3A1D" w:rsidRDefault="00FD3A1D" w:rsidP="009206CF">
      <w:pPr>
        <w:pStyle w:val="Tabletitle"/>
      </w:pPr>
    </w:p>
    <w:p w:rsidR="00296E23" w:rsidRPr="00E2722E" w:rsidRDefault="00296E23" w:rsidP="00296E23">
      <w:pPr>
        <w:pStyle w:val="NoSpacing"/>
        <w:rPr>
          <w:sz w:val="22"/>
          <w:szCs w:val="24"/>
        </w:rPr>
      </w:pPr>
      <w:proofErr w:type="gramStart"/>
      <w:r w:rsidRPr="00E2722E">
        <w:rPr>
          <w:b/>
          <w:sz w:val="24"/>
        </w:rPr>
        <w:t>Table 2.</w:t>
      </w:r>
      <w:proofErr w:type="gramEnd"/>
      <w:r w:rsidRPr="00E2722E">
        <w:rPr>
          <w:sz w:val="24"/>
        </w:rPr>
        <w:t xml:space="preserve">  Estimated p</w:t>
      </w:r>
      <w:r w:rsidRPr="00E2722E">
        <w:rPr>
          <w:sz w:val="24"/>
          <w:szCs w:val="24"/>
        </w:rPr>
        <w:t xml:space="preserve">ercent decreases in cobia landings in </w:t>
      </w:r>
      <w:r w:rsidR="00E2722E" w:rsidRPr="00E2722E">
        <w:rPr>
          <w:sz w:val="24"/>
          <w:szCs w:val="24"/>
        </w:rPr>
        <w:t>North Carolina</w:t>
      </w:r>
      <w:r w:rsidRPr="00E2722E">
        <w:rPr>
          <w:sz w:val="24"/>
          <w:szCs w:val="24"/>
        </w:rPr>
        <w:t xml:space="preserve"> state waters for a combination of minimum size limits and vessel limits</w:t>
      </w:r>
      <w:r w:rsidRPr="00E2722E">
        <w:rPr>
          <w:sz w:val="22"/>
          <w:szCs w:val="24"/>
        </w:rPr>
        <w:t>.</w:t>
      </w:r>
    </w:p>
    <w:tbl>
      <w:tblPr>
        <w:tblStyle w:val="TableGrid"/>
        <w:tblW w:w="5000" w:type="pct"/>
        <w:tblLook w:val="04A0"/>
      </w:tblPr>
      <w:tblGrid>
        <w:gridCol w:w="1594"/>
        <w:gridCol w:w="1361"/>
        <w:gridCol w:w="990"/>
        <w:gridCol w:w="910"/>
        <w:gridCol w:w="908"/>
        <w:gridCol w:w="908"/>
        <w:gridCol w:w="908"/>
        <w:gridCol w:w="1067"/>
        <w:gridCol w:w="923"/>
        <w:gridCol w:w="727"/>
      </w:tblGrid>
      <w:tr w:rsidR="00296E23" w:rsidRPr="00296E23" w:rsidTr="00E2722E">
        <w:tc>
          <w:tcPr>
            <w:tcW w:w="774" w:type="pct"/>
            <w:vMerge w:val="restart"/>
            <w:shd w:val="clear" w:color="auto" w:fill="F2F2F2" w:themeFill="background1" w:themeFillShade="F2"/>
            <w:vAlign w:val="center"/>
          </w:tcPr>
          <w:p w:rsidR="00296E23" w:rsidRPr="00296E23" w:rsidRDefault="00296E23" w:rsidP="00296E23">
            <w:pPr>
              <w:pStyle w:val="NoSpacing"/>
              <w:jc w:val="center"/>
              <w:rPr>
                <w:sz w:val="22"/>
                <w:szCs w:val="22"/>
              </w:rPr>
            </w:pPr>
            <w:r w:rsidRPr="00296E23">
              <w:rPr>
                <w:sz w:val="22"/>
                <w:szCs w:val="22"/>
              </w:rPr>
              <w:t>Vessel Limit</w:t>
            </w:r>
          </w:p>
        </w:tc>
        <w:tc>
          <w:tcPr>
            <w:tcW w:w="4226" w:type="pct"/>
            <w:gridSpan w:val="9"/>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Minimum Size Limit (FL)</w:t>
            </w:r>
          </w:p>
        </w:tc>
      </w:tr>
      <w:tr w:rsidR="00E2722E" w:rsidRPr="00296E23" w:rsidTr="00E2722E">
        <w:tc>
          <w:tcPr>
            <w:tcW w:w="774" w:type="pct"/>
            <w:vMerge/>
            <w:shd w:val="clear" w:color="auto" w:fill="F2F2F2" w:themeFill="background1" w:themeFillShade="F2"/>
            <w:vAlign w:val="center"/>
          </w:tcPr>
          <w:p w:rsidR="00296E23" w:rsidRPr="00296E23" w:rsidRDefault="00296E23" w:rsidP="00296E23">
            <w:pPr>
              <w:pStyle w:val="NoSpacing"/>
              <w:jc w:val="center"/>
              <w:rPr>
                <w:sz w:val="22"/>
                <w:szCs w:val="22"/>
              </w:rPr>
            </w:pPr>
          </w:p>
        </w:tc>
        <w:tc>
          <w:tcPr>
            <w:tcW w:w="661"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33</w:t>
            </w:r>
          </w:p>
        </w:tc>
        <w:tc>
          <w:tcPr>
            <w:tcW w:w="481"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34</w:t>
            </w:r>
          </w:p>
        </w:tc>
        <w:tc>
          <w:tcPr>
            <w:tcW w:w="442"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35</w:t>
            </w:r>
          </w:p>
        </w:tc>
        <w:tc>
          <w:tcPr>
            <w:tcW w:w="441"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36</w:t>
            </w:r>
          </w:p>
        </w:tc>
        <w:tc>
          <w:tcPr>
            <w:tcW w:w="441"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37</w:t>
            </w:r>
          </w:p>
        </w:tc>
        <w:tc>
          <w:tcPr>
            <w:tcW w:w="441"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38</w:t>
            </w:r>
          </w:p>
        </w:tc>
        <w:tc>
          <w:tcPr>
            <w:tcW w:w="518"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39 (40)</w:t>
            </w:r>
            <w:r w:rsidR="00E2722E">
              <w:rPr>
                <w:sz w:val="22"/>
                <w:szCs w:val="22"/>
              </w:rPr>
              <w:t>*</w:t>
            </w:r>
          </w:p>
        </w:tc>
        <w:tc>
          <w:tcPr>
            <w:tcW w:w="448"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45</w:t>
            </w:r>
          </w:p>
        </w:tc>
        <w:tc>
          <w:tcPr>
            <w:tcW w:w="354" w:type="pct"/>
            <w:shd w:val="clear" w:color="auto" w:fill="BFBFBF" w:themeFill="background1" w:themeFillShade="BF"/>
            <w:vAlign w:val="center"/>
          </w:tcPr>
          <w:p w:rsidR="00296E23" w:rsidRPr="00296E23" w:rsidRDefault="00296E23" w:rsidP="00296E23">
            <w:pPr>
              <w:pStyle w:val="NoSpacing"/>
              <w:jc w:val="center"/>
              <w:rPr>
                <w:sz w:val="22"/>
                <w:szCs w:val="22"/>
              </w:rPr>
            </w:pPr>
            <w:r w:rsidRPr="00296E23">
              <w:rPr>
                <w:sz w:val="22"/>
                <w:szCs w:val="22"/>
              </w:rPr>
              <w:t>50</w:t>
            </w:r>
          </w:p>
        </w:tc>
      </w:tr>
      <w:tr w:rsidR="00296E23" w:rsidRPr="00296E23" w:rsidTr="00E2722E">
        <w:tc>
          <w:tcPr>
            <w:tcW w:w="774" w:type="pct"/>
            <w:shd w:val="clear" w:color="auto" w:fill="F2F2F2" w:themeFill="background1" w:themeFillShade="F2"/>
            <w:vAlign w:val="center"/>
          </w:tcPr>
          <w:p w:rsidR="00296E23" w:rsidRPr="00296E23" w:rsidRDefault="00296E23" w:rsidP="00296E23">
            <w:pPr>
              <w:pStyle w:val="NoSpacing"/>
              <w:jc w:val="center"/>
              <w:rPr>
                <w:sz w:val="22"/>
                <w:szCs w:val="22"/>
              </w:rPr>
            </w:pPr>
            <w:r w:rsidRPr="00296E23">
              <w:rPr>
                <w:sz w:val="22"/>
                <w:szCs w:val="22"/>
              </w:rPr>
              <w:t>1</w:t>
            </w:r>
          </w:p>
        </w:tc>
        <w:tc>
          <w:tcPr>
            <w:tcW w:w="661" w:type="pct"/>
            <w:tcBorders>
              <w:top w:val="single" w:sz="4" w:space="0" w:color="auto"/>
              <w:left w:val="nil"/>
              <w:bottom w:val="single" w:sz="4" w:space="0" w:color="auto"/>
              <w:right w:val="single" w:sz="4"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28.3</w:t>
            </w:r>
          </w:p>
        </w:tc>
        <w:tc>
          <w:tcPr>
            <w:tcW w:w="481" w:type="pct"/>
            <w:tcBorders>
              <w:top w:val="nil"/>
              <w:left w:val="single" w:sz="4" w:space="0" w:color="auto"/>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31.1</w:t>
            </w:r>
          </w:p>
        </w:tc>
        <w:tc>
          <w:tcPr>
            <w:tcW w:w="442"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33.5</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35.5</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36.8</w:t>
            </w:r>
          </w:p>
        </w:tc>
        <w:tc>
          <w:tcPr>
            <w:tcW w:w="441" w:type="pct"/>
            <w:vAlign w:val="center"/>
          </w:tcPr>
          <w:p w:rsidR="00296E23" w:rsidRPr="00296E23" w:rsidRDefault="00296E23" w:rsidP="00296E23">
            <w:pPr>
              <w:pStyle w:val="NoSpacing"/>
              <w:jc w:val="center"/>
              <w:rPr>
                <w:sz w:val="22"/>
                <w:szCs w:val="22"/>
              </w:rPr>
            </w:pPr>
          </w:p>
        </w:tc>
        <w:tc>
          <w:tcPr>
            <w:tcW w:w="518" w:type="pct"/>
            <w:vAlign w:val="center"/>
          </w:tcPr>
          <w:p w:rsidR="00296E23" w:rsidRPr="00296E23" w:rsidRDefault="00296E23" w:rsidP="00296E23">
            <w:pPr>
              <w:pStyle w:val="NoSpacing"/>
              <w:jc w:val="center"/>
              <w:rPr>
                <w:sz w:val="22"/>
                <w:szCs w:val="22"/>
              </w:rPr>
            </w:pPr>
            <w:r w:rsidRPr="00296E23">
              <w:rPr>
                <w:sz w:val="22"/>
                <w:szCs w:val="22"/>
              </w:rPr>
              <w:t>44</w:t>
            </w:r>
          </w:p>
        </w:tc>
        <w:tc>
          <w:tcPr>
            <w:tcW w:w="448" w:type="pct"/>
            <w:vAlign w:val="center"/>
          </w:tcPr>
          <w:p w:rsidR="00296E23" w:rsidRPr="00296E23" w:rsidRDefault="00296E23" w:rsidP="00296E23">
            <w:pPr>
              <w:pStyle w:val="NoSpacing"/>
              <w:jc w:val="center"/>
              <w:rPr>
                <w:sz w:val="22"/>
                <w:szCs w:val="22"/>
              </w:rPr>
            </w:pPr>
            <w:r w:rsidRPr="00296E23">
              <w:rPr>
                <w:sz w:val="22"/>
                <w:szCs w:val="22"/>
              </w:rPr>
              <w:t>67.4</w:t>
            </w:r>
          </w:p>
        </w:tc>
        <w:tc>
          <w:tcPr>
            <w:tcW w:w="354" w:type="pct"/>
            <w:vAlign w:val="center"/>
          </w:tcPr>
          <w:p w:rsidR="00296E23" w:rsidRPr="00296E23" w:rsidRDefault="00296E23" w:rsidP="00296E23">
            <w:pPr>
              <w:pStyle w:val="NoSpacing"/>
              <w:jc w:val="center"/>
              <w:rPr>
                <w:sz w:val="22"/>
                <w:szCs w:val="22"/>
              </w:rPr>
            </w:pPr>
          </w:p>
        </w:tc>
      </w:tr>
      <w:tr w:rsidR="00296E23" w:rsidRPr="00296E23" w:rsidTr="00E2722E">
        <w:tc>
          <w:tcPr>
            <w:tcW w:w="774" w:type="pct"/>
            <w:shd w:val="clear" w:color="auto" w:fill="F2F2F2" w:themeFill="background1" w:themeFillShade="F2"/>
            <w:vAlign w:val="center"/>
          </w:tcPr>
          <w:p w:rsidR="00296E23" w:rsidRPr="00296E23" w:rsidRDefault="00296E23" w:rsidP="00296E23">
            <w:pPr>
              <w:pStyle w:val="NoSpacing"/>
              <w:jc w:val="center"/>
              <w:rPr>
                <w:sz w:val="22"/>
                <w:szCs w:val="22"/>
              </w:rPr>
            </w:pPr>
            <w:r w:rsidRPr="00296E23">
              <w:rPr>
                <w:sz w:val="22"/>
                <w:szCs w:val="22"/>
              </w:rPr>
              <w:t>2</w:t>
            </w:r>
          </w:p>
        </w:tc>
        <w:tc>
          <w:tcPr>
            <w:tcW w:w="661" w:type="pct"/>
            <w:tcBorders>
              <w:top w:val="single" w:sz="4" w:space="0" w:color="auto"/>
              <w:left w:val="nil"/>
              <w:bottom w:val="single" w:sz="4" w:space="0" w:color="auto"/>
              <w:right w:val="single" w:sz="4"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27.3</w:t>
            </w:r>
          </w:p>
        </w:tc>
        <w:tc>
          <w:tcPr>
            <w:tcW w:w="481" w:type="pct"/>
            <w:tcBorders>
              <w:top w:val="nil"/>
              <w:left w:val="single" w:sz="4" w:space="0" w:color="auto"/>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30.1</w:t>
            </w:r>
          </w:p>
        </w:tc>
        <w:tc>
          <w:tcPr>
            <w:tcW w:w="442"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32.5</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34.5</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35.8</w:t>
            </w:r>
          </w:p>
        </w:tc>
        <w:tc>
          <w:tcPr>
            <w:tcW w:w="441" w:type="pct"/>
            <w:vAlign w:val="center"/>
          </w:tcPr>
          <w:p w:rsidR="00296E23" w:rsidRPr="00296E23" w:rsidRDefault="00296E23" w:rsidP="00296E23">
            <w:pPr>
              <w:pStyle w:val="NoSpacing"/>
              <w:jc w:val="center"/>
              <w:rPr>
                <w:sz w:val="22"/>
                <w:szCs w:val="22"/>
              </w:rPr>
            </w:pPr>
          </w:p>
        </w:tc>
        <w:tc>
          <w:tcPr>
            <w:tcW w:w="518" w:type="pct"/>
            <w:vAlign w:val="center"/>
          </w:tcPr>
          <w:p w:rsidR="00296E23" w:rsidRPr="00296E23" w:rsidRDefault="00296E23" w:rsidP="00296E23">
            <w:pPr>
              <w:pStyle w:val="NoSpacing"/>
              <w:jc w:val="center"/>
              <w:rPr>
                <w:sz w:val="22"/>
                <w:szCs w:val="22"/>
              </w:rPr>
            </w:pPr>
            <w:r w:rsidRPr="00296E23">
              <w:rPr>
                <w:sz w:val="22"/>
                <w:szCs w:val="22"/>
              </w:rPr>
              <w:t>43</w:t>
            </w:r>
          </w:p>
        </w:tc>
        <w:tc>
          <w:tcPr>
            <w:tcW w:w="448" w:type="pct"/>
            <w:vAlign w:val="center"/>
          </w:tcPr>
          <w:p w:rsidR="00296E23" w:rsidRPr="00296E23" w:rsidRDefault="00296E23" w:rsidP="00296E23">
            <w:pPr>
              <w:pStyle w:val="NoSpacing"/>
              <w:jc w:val="center"/>
              <w:rPr>
                <w:sz w:val="22"/>
                <w:szCs w:val="22"/>
              </w:rPr>
            </w:pPr>
            <w:r w:rsidRPr="00296E23">
              <w:rPr>
                <w:sz w:val="22"/>
                <w:szCs w:val="22"/>
              </w:rPr>
              <w:t>66.4</w:t>
            </w:r>
          </w:p>
        </w:tc>
        <w:tc>
          <w:tcPr>
            <w:tcW w:w="354" w:type="pct"/>
            <w:vAlign w:val="center"/>
          </w:tcPr>
          <w:p w:rsidR="00296E23" w:rsidRPr="00296E23" w:rsidRDefault="00296E23" w:rsidP="00296E23">
            <w:pPr>
              <w:pStyle w:val="NoSpacing"/>
              <w:jc w:val="center"/>
              <w:rPr>
                <w:sz w:val="22"/>
                <w:szCs w:val="22"/>
              </w:rPr>
            </w:pPr>
          </w:p>
        </w:tc>
      </w:tr>
      <w:tr w:rsidR="00296E23" w:rsidRPr="00296E23" w:rsidTr="00E2722E">
        <w:tc>
          <w:tcPr>
            <w:tcW w:w="774" w:type="pct"/>
            <w:shd w:val="clear" w:color="auto" w:fill="F2F2F2" w:themeFill="background1" w:themeFillShade="F2"/>
            <w:vAlign w:val="center"/>
          </w:tcPr>
          <w:p w:rsidR="00296E23" w:rsidRPr="00296E23" w:rsidRDefault="00296E23" w:rsidP="00296E23">
            <w:pPr>
              <w:pStyle w:val="NoSpacing"/>
              <w:jc w:val="center"/>
              <w:rPr>
                <w:sz w:val="22"/>
                <w:szCs w:val="22"/>
              </w:rPr>
            </w:pPr>
            <w:r w:rsidRPr="00296E23">
              <w:rPr>
                <w:sz w:val="22"/>
                <w:szCs w:val="22"/>
              </w:rPr>
              <w:t>3</w:t>
            </w:r>
          </w:p>
        </w:tc>
        <w:tc>
          <w:tcPr>
            <w:tcW w:w="661" w:type="pct"/>
            <w:tcBorders>
              <w:top w:val="single" w:sz="4" w:space="0" w:color="auto"/>
              <w:left w:val="nil"/>
              <w:bottom w:val="single" w:sz="4" w:space="0" w:color="auto"/>
              <w:right w:val="single" w:sz="4"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12.1</w:t>
            </w:r>
          </w:p>
        </w:tc>
        <w:tc>
          <w:tcPr>
            <w:tcW w:w="481" w:type="pct"/>
            <w:tcBorders>
              <w:top w:val="nil"/>
              <w:left w:val="single" w:sz="4" w:space="0" w:color="auto"/>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14.9</w:t>
            </w:r>
          </w:p>
        </w:tc>
        <w:tc>
          <w:tcPr>
            <w:tcW w:w="442"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17.3</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19.3</w:t>
            </w:r>
          </w:p>
        </w:tc>
        <w:tc>
          <w:tcPr>
            <w:tcW w:w="441" w:type="pct"/>
            <w:tcBorders>
              <w:top w:val="nil"/>
              <w:left w:val="nil"/>
              <w:bottom w:val="single" w:sz="8" w:space="0" w:color="auto"/>
              <w:right w:val="single" w:sz="8" w:space="0" w:color="auto"/>
            </w:tcBorders>
            <w:shd w:val="clear" w:color="auto" w:fill="auto"/>
            <w:vAlign w:val="center"/>
          </w:tcPr>
          <w:p w:rsidR="00296E23" w:rsidRPr="00296E23" w:rsidRDefault="00296E23" w:rsidP="00296E23">
            <w:pPr>
              <w:jc w:val="center"/>
              <w:rPr>
                <w:color w:val="000000"/>
                <w:sz w:val="22"/>
              </w:rPr>
            </w:pPr>
            <w:r w:rsidRPr="00296E23">
              <w:rPr>
                <w:color w:val="000000"/>
                <w:sz w:val="22"/>
              </w:rPr>
              <w:t>20.6</w:t>
            </w:r>
          </w:p>
        </w:tc>
        <w:tc>
          <w:tcPr>
            <w:tcW w:w="441" w:type="pct"/>
            <w:vAlign w:val="center"/>
          </w:tcPr>
          <w:p w:rsidR="00296E23" w:rsidRPr="00296E23" w:rsidRDefault="00296E23" w:rsidP="00296E23">
            <w:pPr>
              <w:pStyle w:val="NoSpacing"/>
              <w:jc w:val="center"/>
              <w:rPr>
                <w:sz w:val="22"/>
                <w:szCs w:val="22"/>
              </w:rPr>
            </w:pPr>
          </w:p>
        </w:tc>
        <w:tc>
          <w:tcPr>
            <w:tcW w:w="518" w:type="pct"/>
            <w:vAlign w:val="center"/>
          </w:tcPr>
          <w:p w:rsidR="00296E23" w:rsidRPr="00296E23" w:rsidRDefault="00296E23" w:rsidP="00296E23">
            <w:pPr>
              <w:pStyle w:val="NoSpacing"/>
              <w:jc w:val="center"/>
              <w:rPr>
                <w:sz w:val="22"/>
                <w:szCs w:val="22"/>
              </w:rPr>
            </w:pPr>
            <w:r w:rsidRPr="00296E23">
              <w:rPr>
                <w:sz w:val="22"/>
                <w:szCs w:val="22"/>
              </w:rPr>
              <w:t>27.8</w:t>
            </w:r>
          </w:p>
        </w:tc>
        <w:tc>
          <w:tcPr>
            <w:tcW w:w="448" w:type="pct"/>
            <w:vAlign w:val="center"/>
          </w:tcPr>
          <w:p w:rsidR="00296E23" w:rsidRPr="00296E23" w:rsidRDefault="00296E23" w:rsidP="00296E23">
            <w:pPr>
              <w:pStyle w:val="NoSpacing"/>
              <w:jc w:val="center"/>
              <w:rPr>
                <w:sz w:val="22"/>
                <w:szCs w:val="22"/>
              </w:rPr>
            </w:pPr>
            <w:r w:rsidRPr="00296E23">
              <w:rPr>
                <w:sz w:val="22"/>
                <w:szCs w:val="22"/>
              </w:rPr>
              <w:t>51.2</w:t>
            </w:r>
          </w:p>
        </w:tc>
        <w:tc>
          <w:tcPr>
            <w:tcW w:w="354" w:type="pct"/>
            <w:vAlign w:val="center"/>
          </w:tcPr>
          <w:p w:rsidR="00296E23" w:rsidRPr="00296E23" w:rsidRDefault="00296E23" w:rsidP="00296E23">
            <w:pPr>
              <w:pStyle w:val="NoSpacing"/>
              <w:jc w:val="center"/>
              <w:rPr>
                <w:sz w:val="22"/>
                <w:szCs w:val="22"/>
              </w:rPr>
            </w:pPr>
          </w:p>
        </w:tc>
      </w:tr>
    </w:tbl>
    <w:p w:rsidR="00296E23" w:rsidRDefault="00296E23" w:rsidP="00296E23">
      <w:pPr>
        <w:pStyle w:val="NoSpacing"/>
        <w:rPr>
          <w:szCs w:val="24"/>
        </w:rPr>
      </w:pPr>
    </w:p>
    <w:p w:rsidR="00296E23" w:rsidRPr="00296E23" w:rsidRDefault="00296E23" w:rsidP="00296E23">
      <w:pPr>
        <w:pStyle w:val="NoSpacing"/>
        <w:rPr>
          <w:sz w:val="24"/>
          <w:szCs w:val="24"/>
        </w:rPr>
      </w:pPr>
      <w:proofErr w:type="gramStart"/>
      <w:r w:rsidRPr="00296E23">
        <w:rPr>
          <w:b/>
          <w:sz w:val="24"/>
        </w:rPr>
        <w:t>Table 3.</w:t>
      </w:r>
      <w:proofErr w:type="gramEnd"/>
      <w:r w:rsidRPr="00296E23">
        <w:rPr>
          <w:sz w:val="24"/>
        </w:rPr>
        <w:t xml:space="preserve">  Estimated p</w:t>
      </w:r>
      <w:r w:rsidRPr="00296E23">
        <w:rPr>
          <w:sz w:val="24"/>
          <w:szCs w:val="24"/>
        </w:rPr>
        <w:t xml:space="preserve">ercent decreases in cobia landings in </w:t>
      </w:r>
      <w:r w:rsidR="00E2722E">
        <w:rPr>
          <w:sz w:val="24"/>
          <w:szCs w:val="24"/>
        </w:rPr>
        <w:t>Virginia</w:t>
      </w:r>
      <w:r w:rsidRPr="00296E23">
        <w:rPr>
          <w:sz w:val="24"/>
          <w:szCs w:val="24"/>
        </w:rPr>
        <w:t xml:space="preserve"> state waters for a combination of minimu</w:t>
      </w:r>
      <w:r>
        <w:rPr>
          <w:sz w:val="24"/>
          <w:szCs w:val="24"/>
        </w:rPr>
        <w:t>m size limits and vessel limits</w:t>
      </w:r>
      <w:r w:rsidRPr="00296E23">
        <w:rPr>
          <w:sz w:val="24"/>
          <w:szCs w:val="24"/>
        </w:rPr>
        <w:t>.</w:t>
      </w:r>
    </w:p>
    <w:tbl>
      <w:tblPr>
        <w:tblStyle w:val="TableGrid"/>
        <w:tblW w:w="5000" w:type="pct"/>
        <w:tblLook w:val="04A0"/>
      </w:tblPr>
      <w:tblGrid>
        <w:gridCol w:w="1594"/>
        <w:gridCol w:w="1361"/>
        <w:gridCol w:w="990"/>
        <w:gridCol w:w="910"/>
        <w:gridCol w:w="908"/>
        <w:gridCol w:w="908"/>
        <w:gridCol w:w="908"/>
        <w:gridCol w:w="1067"/>
        <w:gridCol w:w="923"/>
        <w:gridCol w:w="727"/>
      </w:tblGrid>
      <w:tr w:rsidR="00E2722E" w:rsidRPr="00296E23" w:rsidTr="00695890">
        <w:tc>
          <w:tcPr>
            <w:tcW w:w="774" w:type="pct"/>
            <w:vMerge w:val="restart"/>
            <w:shd w:val="clear" w:color="auto" w:fill="F2F2F2" w:themeFill="background1" w:themeFillShade="F2"/>
            <w:vAlign w:val="center"/>
          </w:tcPr>
          <w:p w:rsidR="00E2722E" w:rsidRPr="00296E23" w:rsidRDefault="00E2722E" w:rsidP="00695890">
            <w:pPr>
              <w:pStyle w:val="NoSpacing"/>
              <w:jc w:val="center"/>
              <w:rPr>
                <w:sz w:val="22"/>
                <w:szCs w:val="22"/>
              </w:rPr>
            </w:pPr>
            <w:r w:rsidRPr="00296E23">
              <w:rPr>
                <w:sz w:val="22"/>
                <w:szCs w:val="22"/>
              </w:rPr>
              <w:t>Vessel Limit</w:t>
            </w:r>
          </w:p>
        </w:tc>
        <w:tc>
          <w:tcPr>
            <w:tcW w:w="4226" w:type="pct"/>
            <w:gridSpan w:val="9"/>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Minimum Size Limit (FL)</w:t>
            </w:r>
          </w:p>
        </w:tc>
      </w:tr>
      <w:tr w:rsidR="00E2722E" w:rsidRPr="00296E23" w:rsidTr="00695890">
        <w:tc>
          <w:tcPr>
            <w:tcW w:w="774" w:type="pct"/>
            <w:vMerge/>
            <w:shd w:val="clear" w:color="auto" w:fill="F2F2F2" w:themeFill="background1" w:themeFillShade="F2"/>
            <w:vAlign w:val="center"/>
          </w:tcPr>
          <w:p w:rsidR="00E2722E" w:rsidRPr="00296E23" w:rsidRDefault="00E2722E" w:rsidP="00695890">
            <w:pPr>
              <w:pStyle w:val="NoSpacing"/>
              <w:jc w:val="center"/>
              <w:rPr>
                <w:sz w:val="22"/>
                <w:szCs w:val="22"/>
              </w:rPr>
            </w:pPr>
          </w:p>
        </w:tc>
        <w:tc>
          <w:tcPr>
            <w:tcW w:w="661"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33</w:t>
            </w:r>
          </w:p>
        </w:tc>
        <w:tc>
          <w:tcPr>
            <w:tcW w:w="481"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34</w:t>
            </w:r>
          </w:p>
        </w:tc>
        <w:tc>
          <w:tcPr>
            <w:tcW w:w="442"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35</w:t>
            </w:r>
          </w:p>
        </w:tc>
        <w:tc>
          <w:tcPr>
            <w:tcW w:w="441"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36</w:t>
            </w:r>
          </w:p>
        </w:tc>
        <w:tc>
          <w:tcPr>
            <w:tcW w:w="441"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37</w:t>
            </w:r>
          </w:p>
        </w:tc>
        <w:tc>
          <w:tcPr>
            <w:tcW w:w="441"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38</w:t>
            </w:r>
          </w:p>
        </w:tc>
        <w:tc>
          <w:tcPr>
            <w:tcW w:w="518"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39 (40)</w:t>
            </w:r>
            <w:r>
              <w:rPr>
                <w:sz w:val="22"/>
                <w:szCs w:val="22"/>
              </w:rPr>
              <w:t>*</w:t>
            </w:r>
          </w:p>
        </w:tc>
        <w:tc>
          <w:tcPr>
            <w:tcW w:w="448"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45</w:t>
            </w:r>
          </w:p>
        </w:tc>
        <w:tc>
          <w:tcPr>
            <w:tcW w:w="354" w:type="pct"/>
            <w:shd w:val="clear" w:color="auto" w:fill="BFBFBF" w:themeFill="background1" w:themeFillShade="BF"/>
            <w:vAlign w:val="center"/>
          </w:tcPr>
          <w:p w:rsidR="00E2722E" w:rsidRPr="00296E23" w:rsidRDefault="00E2722E" w:rsidP="00695890">
            <w:pPr>
              <w:pStyle w:val="NoSpacing"/>
              <w:jc w:val="center"/>
              <w:rPr>
                <w:sz w:val="22"/>
                <w:szCs w:val="22"/>
              </w:rPr>
            </w:pPr>
            <w:r w:rsidRPr="00296E23">
              <w:rPr>
                <w:sz w:val="22"/>
                <w:szCs w:val="22"/>
              </w:rPr>
              <w:t>50</w:t>
            </w:r>
          </w:p>
        </w:tc>
      </w:tr>
      <w:tr w:rsidR="00E2722E" w:rsidRPr="00296E23" w:rsidTr="00695890">
        <w:tc>
          <w:tcPr>
            <w:tcW w:w="774" w:type="pct"/>
            <w:shd w:val="clear" w:color="auto" w:fill="F2F2F2" w:themeFill="background1" w:themeFillShade="F2"/>
            <w:vAlign w:val="center"/>
          </w:tcPr>
          <w:p w:rsidR="00E2722E" w:rsidRPr="00296E23" w:rsidRDefault="00E2722E" w:rsidP="00695890">
            <w:pPr>
              <w:pStyle w:val="NoSpacing"/>
              <w:jc w:val="center"/>
              <w:rPr>
                <w:sz w:val="22"/>
                <w:szCs w:val="22"/>
              </w:rPr>
            </w:pPr>
            <w:r w:rsidRPr="00296E23">
              <w:rPr>
                <w:sz w:val="22"/>
                <w:szCs w:val="22"/>
              </w:rPr>
              <w:t>1</w:t>
            </w:r>
          </w:p>
        </w:tc>
        <w:tc>
          <w:tcPr>
            <w:tcW w:w="661" w:type="pct"/>
            <w:tcBorders>
              <w:top w:val="single" w:sz="4" w:space="0" w:color="auto"/>
              <w:left w:val="nil"/>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48.3</w:t>
            </w:r>
          </w:p>
        </w:tc>
        <w:tc>
          <w:tcPr>
            <w:tcW w:w="481" w:type="pct"/>
            <w:tcBorders>
              <w:top w:val="nil"/>
              <w:left w:val="single" w:sz="4" w:space="0" w:color="auto"/>
              <w:bottom w:val="single" w:sz="8"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48.3</w:t>
            </w:r>
          </w:p>
        </w:tc>
        <w:tc>
          <w:tcPr>
            <w:tcW w:w="442" w:type="pct"/>
            <w:tcBorders>
              <w:top w:val="nil"/>
              <w:left w:val="nil"/>
              <w:bottom w:val="single" w:sz="8"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48.3</w:t>
            </w:r>
          </w:p>
        </w:tc>
        <w:tc>
          <w:tcPr>
            <w:tcW w:w="441" w:type="pct"/>
            <w:tcBorders>
              <w:top w:val="nil"/>
              <w:left w:val="nil"/>
              <w:bottom w:val="single" w:sz="8"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54.3</w:t>
            </w:r>
          </w:p>
        </w:tc>
        <w:tc>
          <w:tcPr>
            <w:tcW w:w="441" w:type="pct"/>
            <w:tcBorders>
              <w:top w:val="nil"/>
              <w:left w:val="nil"/>
              <w:bottom w:val="single" w:sz="8"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55.5</w:t>
            </w:r>
          </w:p>
        </w:tc>
        <w:tc>
          <w:tcPr>
            <w:tcW w:w="441" w:type="pct"/>
            <w:vAlign w:val="center"/>
          </w:tcPr>
          <w:p w:rsidR="00E2722E" w:rsidRPr="00296E23" w:rsidRDefault="00E2722E" w:rsidP="00695890">
            <w:pPr>
              <w:pStyle w:val="NoSpacing"/>
              <w:jc w:val="center"/>
              <w:rPr>
                <w:sz w:val="22"/>
                <w:szCs w:val="22"/>
              </w:rPr>
            </w:pPr>
          </w:p>
        </w:tc>
        <w:tc>
          <w:tcPr>
            <w:tcW w:w="518" w:type="pct"/>
            <w:vAlign w:val="center"/>
          </w:tcPr>
          <w:p w:rsidR="00E2722E" w:rsidRPr="00296E23" w:rsidRDefault="00E2722E" w:rsidP="00695890">
            <w:pPr>
              <w:pStyle w:val="NoSpacing"/>
              <w:jc w:val="center"/>
              <w:rPr>
                <w:sz w:val="22"/>
                <w:szCs w:val="22"/>
              </w:rPr>
            </w:pPr>
            <w:r>
              <w:rPr>
                <w:sz w:val="22"/>
                <w:szCs w:val="22"/>
              </w:rPr>
              <w:t>66.2</w:t>
            </w:r>
          </w:p>
        </w:tc>
        <w:tc>
          <w:tcPr>
            <w:tcW w:w="448" w:type="pct"/>
            <w:vAlign w:val="center"/>
          </w:tcPr>
          <w:p w:rsidR="00E2722E" w:rsidRPr="00296E23" w:rsidRDefault="00E2722E" w:rsidP="00695890">
            <w:pPr>
              <w:pStyle w:val="NoSpacing"/>
              <w:jc w:val="center"/>
              <w:rPr>
                <w:sz w:val="22"/>
                <w:szCs w:val="22"/>
              </w:rPr>
            </w:pPr>
            <w:r>
              <w:rPr>
                <w:sz w:val="22"/>
                <w:szCs w:val="22"/>
              </w:rPr>
              <w:t>87.4</w:t>
            </w:r>
          </w:p>
        </w:tc>
        <w:tc>
          <w:tcPr>
            <w:tcW w:w="354" w:type="pct"/>
            <w:vAlign w:val="center"/>
          </w:tcPr>
          <w:p w:rsidR="00E2722E" w:rsidRPr="00296E23" w:rsidRDefault="00E2722E" w:rsidP="00695890">
            <w:pPr>
              <w:pStyle w:val="NoSpacing"/>
              <w:jc w:val="center"/>
              <w:rPr>
                <w:sz w:val="22"/>
                <w:szCs w:val="22"/>
              </w:rPr>
            </w:pPr>
          </w:p>
        </w:tc>
      </w:tr>
      <w:tr w:rsidR="00E2722E" w:rsidRPr="00296E23" w:rsidTr="00E2722E">
        <w:tc>
          <w:tcPr>
            <w:tcW w:w="774" w:type="pct"/>
            <w:shd w:val="clear" w:color="auto" w:fill="F2F2F2" w:themeFill="background1" w:themeFillShade="F2"/>
            <w:vAlign w:val="center"/>
          </w:tcPr>
          <w:p w:rsidR="00E2722E" w:rsidRPr="00296E23" w:rsidRDefault="00E2722E" w:rsidP="00695890">
            <w:pPr>
              <w:pStyle w:val="NoSpacing"/>
              <w:jc w:val="center"/>
              <w:rPr>
                <w:sz w:val="22"/>
                <w:szCs w:val="22"/>
              </w:rPr>
            </w:pPr>
            <w:r w:rsidRPr="00296E23">
              <w:rPr>
                <w:sz w:val="22"/>
                <w:szCs w:val="22"/>
              </w:rPr>
              <w:t>2</w:t>
            </w:r>
          </w:p>
        </w:tc>
        <w:tc>
          <w:tcPr>
            <w:tcW w:w="661" w:type="pct"/>
            <w:tcBorders>
              <w:top w:val="single" w:sz="4" w:space="0" w:color="auto"/>
              <w:left w:val="nil"/>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22.5</w:t>
            </w:r>
          </w:p>
        </w:tc>
        <w:tc>
          <w:tcPr>
            <w:tcW w:w="481" w:type="pct"/>
            <w:tcBorders>
              <w:top w:val="nil"/>
              <w:left w:val="single" w:sz="4" w:space="0" w:color="auto"/>
              <w:bottom w:val="single" w:sz="4" w:space="0" w:color="auto"/>
              <w:right w:val="single" w:sz="8" w:space="0" w:color="auto"/>
            </w:tcBorders>
            <w:shd w:val="clear" w:color="auto" w:fill="auto"/>
            <w:vAlign w:val="center"/>
          </w:tcPr>
          <w:p w:rsidR="00E2722E" w:rsidRPr="00296E23" w:rsidRDefault="00E2722E" w:rsidP="00E2722E">
            <w:pPr>
              <w:jc w:val="center"/>
              <w:rPr>
                <w:color w:val="000000"/>
                <w:sz w:val="22"/>
              </w:rPr>
            </w:pPr>
            <w:r>
              <w:rPr>
                <w:color w:val="000000"/>
                <w:sz w:val="22"/>
              </w:rPr>
              <w:t>22.5</w:t>
            </w:r>
          </w:p>
        </w:tc>
        <w:tc>
          <w:tcPr>
            <w:tcW w:w="442" w:type="pct"/>
            <w:tcBorders>
              <w:top w:val="nil"/>
              <w:left w:val="nil"/>
              <w:bottom w:val="single" w:sz="4"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22.5</w:t>
            </w:r>
          </w:p>
        </w:tc>
        <w:tc>
          <w:tcPr>
            <w:tcW w:w="441" w:type="pct"/>
            <w:tcBorders>
              <w:top w:val="nil"/>
              <w:left w:val="nil"/>
              <w:bottom w:val="single" w:sz="4"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28.5</w:t>
            </w:r>
          </w:p>
        </w:tc>
        <w:tc>
          <w:tcPr>
            <w:tcW w:w="441" w:type="pct"/>
            <w:tcBorders>
              <w:top w:val="nil"/>
              <w:left w:val="nil"/>
              <w:bottom w:val="single" w:sz="4" w:space="0" w:color="auto"/>
              <w:right w:val="single" w:sz="8" w:space="0" w:color="auto"/>
            </w:tcBorders>
            <w:shd w:val="clear" w:color="auto" w:fill="auto"/>
            <w:vAlign w:val="center"/>
          </w:tcPr>
          <w:p w:rsidR="00E2722E" w:rsidRPr="00296E23" w:rsidRDefault="00E2722E" w:rsidP="00695890">
            <w:pPr>
              <w:jc w:val="center"/>
              <w:rPr>
                <w:color w:val="000000"/>
                <w:sz w:val="22"/>
              </w:rPr>
            </w:pPr>
            <w:r>
              <w:rPr>
                <w:color w:val="000000"/>
                <w:sz w:val="22"/>
              </w:rPr>
              <w:t>29.7</w:t>
            </w:r>
          </w:p>
        </w:tc>
        <w:tc>
          <w:tcPr>
            <w:tcW w:w="441" w:type="pct"/>
            <w:vAlign w:val="center"/>
          </w:tcPr>
          <w:p w:rsidR="00E2722E" w:rsidRPr="00296E23" w:rsidRDefault="00E2722E" w:rsidP="00695890">
            <w:pPr>
              <w:pStyle w:val="NoSpacing"/>
              <w:jc w:val="center"/>
              <w:rPr>
                <w:sz w:val="22"/>
                <w:szCs w:val="22"/>
              </w:rPr>
            </w:pPr>
          </w:p>
        </w:tc>
        <w:tc>
          <w:tcPr>
            <w:tcW w:w="518" w:type="pct"/>
            <w:vAlign w:val="center"/>
          </w:tcPr>
          <w:p w:rsidR="00E2722E" w:rsidRPr="00296E23" w:rsidRDefault="00E2722E" w:rsidP="00695890">
            <w:pPr>
              <w:pStyle w:val="NoSpacing"/>
              <w:jc w:val="center"/>
              <w:rPr>
                <w:sz w:val="22"/>
                <w:szCs w:val="22"/>
              </w:rPr>
            </w:pPr>
          </w:p>
        </w:tc>
        <w:tc>
          <w:tcPr>
            <w:tcW w:w="448" w:type="pct"/>
            <w:vAlign w:val="center"/>
          </w:tcPr>
          <w:p w:rsidR="00E2722E" w:rsidRPr="00296E23" w:rsidRDefault="00E2722E" w:rsidP="00695890">
            <w:pPr>
              <w:pStyle w:val="NoSpacing"/>
              <w:jc w:val="center"/>
              <w:rPr>
                <w:sz w:val="22"/>
                <w:szCs w:val="22"/>
              </w:rPr>
            </w:pPr>
          </w:p>
        </w:tc>
        <w:tc>
          <w:tcPr>
            <w:tcW w:w="354" w:type="pct"/>
            <w:vAlign w:val="center"/>
          </w:tcPr>
          <w:p w:rsidR="00E2722E" w:rsidRPr="00296E23" w:rsidRDefault="00E2722E" w:rsidP="00E2722E">
            <w:pPr>
              <w:pStyle w:val="NoSpacing"/>
              <w:rPr>
                <w:sz w:val="22"/>
                <w:szCs w:val="22"/>
              </w:rPr>
            </w:pPr>
          </w:p>
        </w:tc>
      </w:tr>
      <w:tr w:rsidR="00E2722E" w:rsidRPr="00296E23" w:rsidTr="00E2722E">
        <w:tc>
          <w:tcPr>
            <w:tcW w:w="774" w:type="pct"/>
            <w:shd w:val="clear" w:color="auto" w:fill="F2F2F2" w:themeFill="background1" w:themeFillShade="F2"/>
            <w:vAlign w:val="center"/>
          </w:tcPr>
          <w:p w:rsidR="00E2722E" w:rsidRPr="00296E23" w:rsidRDefault="00E2722E" w:rsidP="00695890">
            <w:pPr>
              <w:pStyle w:val="NoSpacing"/>
              <w:jc w:val="center"/>
              <w:rPr>
                <w:sz w:val="22"/>
                <w:szCs w:val="22"/>
              </w:rPr>
            </w:pPr>
            <w:r w:rsidRPr="00296E23">
              <w:rPr>
                <w:sz w:val="22"/>
                <w:szCs w:val="22"/>
              </w:rPr>
              <w:t>3</w:t>
            </w:r>
          </w:p>
        </w:tc>
        <w:tc>
          <w:tcPr>
            <w:tcW w:w="661" w:type="pct"/>
            <w:tcBorders>
              <w:top w:val="single" w:sz="4" w:space="0" w:color="auto"/>
              <w:left w:val="nil"/>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17.9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17.9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17.9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23.9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Pr="00296E23" w:rsidRDefault="00E2722E" w:rsidP="00695890">
            <w:pPr>
              <w:jc w:val="center"/>
              <w:rPr>
                <w:color w:val="000000"/>
                <w:sz w:val="22"/>
              </w:rPr>
            </w:pPr>
            <w:r>
              <w:rPr>
                <w:color w:val="000000"/>
                <w:sz w:val="22"/>
              </w:rPr>
              <w:t>25.1</w:t>
            </w:r>
          </w:p>
        </w:tc>
        <w:tc>
          <w:tcPr>
            <w:tcW w:w="441" w:type="pct"/>
            <w:tcBorders>
              <w:left w:val="single" w:sz="4" w:space="0" w:color="auto"/>
            </w:tcBorders>
            <w:vAlign w:val="center"/>
          </w:tcPr>
          <w:p w:rsidR="00E2722E" w:rsidRPr="00296E23" w:rsidRDefault="00E2722E" w:rsidP="00695890">
            <w:pPr>
              <w:pStyle w:val="NoSpacing"/>
              <w:jc w:val="center"/>
              <w:rPr>
                <w:sz w:val="22"/>
                <w:szCs w:val="22"/>
              </w:rPr>
            </w:pPr>
          </w:p>
        </w:tc>
        <w:tc>
          <w:tcPr>
            <w:tcW w:w="518" w:type="pct"/>
            <w:vAlign w:val="center"/>
          </w:tcPr>
          <w:p w:rsidR="00E2722E" w:rsidRPr="00296E23" w:rsidRDefault="00E2722E" w:rsidP="00695890">
            <w:pPr>
              <w:pStyle w:val="NoSpacing"/>
              <w:jc w:val="center"/>
              <w:rPr>
                <w:sz w:val="22"/>
                <w:szCs w:val="22"/>
              </w:rPr>
            </w:pPr>
          </w:p>
        </w:tc>
        <w:tc>
          <w:tcPr>
            <w:tcW w:w="448" w:type="pct"/>
            <w:vAlign w:val="center"/>
          </w:tcPr>
          <w:p w:rsidR="00E2722E" w:rsidRPr="00296E23" w:rsidRDefault="00E2722E" w:rsidP="00695890">
            <w:pPr>
              <w:pStyle w:val="NoSpacing"/>
              <w:jc w:val="center"/>
              <w:rPr>
                <w:sz w:val="22"/>
                <w:szCs w:val="22"/>
              </w:rPr>
            </w:pPr>
          </w:p>
        </w:tc>
        <w:tc>
          <w:tcPr>
            <w:tcW w:w="354" w:type="pct"/>
            <w:vAlign w:val="center"/>
          </w:tcPr>
          <w:p w:rsidR="00E2722E" w:rsidRPr="00296E23" w:rsidRDefault="00E2722E" w:rsidP="00695890">
            <w:pPr>
              <w:pStyle w:val="NoSpacing"/>
              <w:jc w:val="center"/>
              <w:rPr>
                <w:sz w:val="22"/>
                <w:szCs w:val="22"/>
              </w:rPr>
            </w:pPr>
          </w:p>
        </w:tc>
      </w:tr>
      <w:tr w:rsidR="00E2722E" w:rsidRPr="00296E23" w:rsidTr="00E2722E">
        <w:tc>
          <w:tcPr>
            <w:tcW w:w="774" w:type="pct"/>
            <w:shd w:val="clear" w:color="auto" w:fill="F2F2F2" w:themeFill="background1" w:themeFillShade="F2"/>
            <w:vAlign w:val="center"/>
          </w:tcPr>
          <w:p w:rsidR="00E2722E" w:rsidRPr="00296E23" w:rsidRDefault="00E2722E" w:rsidP="00695890">
            <w:pPr>
              <w:pStyle w:val="NoSpacing"/>
              <w:jc w:val="center"/>
              <w:rPr>
                <w:sz w:val="22"/>
                <w:szCs w:val="22"/>
              </w:rPr>
            </w:pPr>
            <w:r>
              <w:rPr>
                <w:sz w:val="22"/>
                <w:szCs w:val="22"/>
              </w:rPr>
              <w:t>4</w:t>
            </w:r>
          </w:p>
        </w:tc>
        <w:tc>
          <w:tcPr>
            <w:tcW w:w="661" w:type="pct"/>
            <w:tcBorders>
              <w:top w:val="single" w:sz="4" w:space="0" w:color="auto"/>
              <w:left w:val="nil"/>
              <w:bottom w:val="single" w:sz="4" w:space="0" w:color="auto"/>
              <w:right w:val="single" w:sz="4" w:space="0" w:color="auto"/>
            </w:tcBorders>
            <w:shd w:val="clear" w:color="auto" w:fill="auto"/>
            <w:vAlign w:val="center"/>
          </w:tcPr>
          <w:p w:rsidR="00E2722E" w:rsidRDefault="00E2722E" w:rsidP="00695890">
            <w:pPr>
              <w:jc w:val="center"/>
              <w:rPr>
                <w:color w:val="000000"/>
                <w:sz w:val="22"/>
              </w:rPr>
            </w:pPr>
            <w:r>
              <w:rPr>
                <w:color w:val="000000"/>
                <w:sz w:val="22"/>
              </w:rPr>
              <w:t>7.9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Default="00E2722E" w:rsidP="00695890">
            <w:pPr>
              <w:jc w:val="center"/>
              <w:rPr>
                <w:color w:val="000000"/>
                <w:sz w:val="22"/>
              </w:rPr>
            </w:pPr>
            <w:r>
              <w:rPr>
                <w:color w:val="000000"/>
                <w:sz w:val="22"/>
              </w:rPr>
              <w:t>7.9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Default="00E2722E" w:rsidP="00695890">
            <w:pPr>
              <w:jc w:val="center"/>
              <w:rPr>
                <w:color w:val="000000"/>
                <w:sz w:val="22"/>
              </w:rPr>
            </w:pPr>
            <w:r>
              <w:rPr>
                <w:color w:val="000000"/>
                <w:sz w:val="22"/>
              </w:rPr>
              <w:t>7.9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Default="00E2722E" w:rsidP="00695890">
            <w:pPr>
              <w:jc w:val="center"/>
              <w:rPr>
                <w:color w:val="000000"/>
                <w:sz w:val="22"/>
              </w:rPr>
            </w:pPr>
            <w:r>
              <w:rPr>
                <w:color w:val="000000"/>
                <w:sz w:val="22"/>
              </w:rPr>
              <w:t>13.9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E2722E" w:rsidRDefault="00E2722E" w:rsidP="00695890">
            <w:pPr>
              <w:jc w:val="center"/>
              <w:rPr>
                <w:color w:val="000000"/>
                <w:sz w:val="22"/>
              </w:rPr>
            </w:pPr>
            <w:r>
              <w:rPr>
                <w:color w:val="000000"/>
                <w:sz w:val="22"/>
              </w:rPr>
              <w:t>15.1</w:t>
            </w:r>
          </w:p>
        </w:tc>
        <w:tc>
          <w:tcPr>
            <w:tcW w:w="441" w:type="pct"/>
            <w:tcBorders>
              <w:left w:val="single" w:sz="4" w:space="0" w:color="auto"/>
            </w:tcBorders>
            <w:vAlign w:val="center"/>
          </w:tcPr>
          <w:p w:rsidR="00E2722E" w:rsidRPr="00296E23" w:rsidRDefault="00E2722E" w:rsidP="00695890">
            <w:pPr>
              <w:pStyle w:val="NoSpacing"/>
              <w:jc w:val="center"/>
              <w:rPr>
                <w:sz w:val="22"/>
                <w:szCs w:val="22"/>
              </w:rPr>
            </w:pPr>
          </w:p>
        </w:tc>
        <w:tc>
          <w:tcPr>
            <w:tcW w:w="518" w:type="pct"/>
            <w:vAlign w:val="center"/>
          </w:tcPr>
          <w:p w:rsidR="00E2722E" w:rsidRPr="00296E23" w:rsidRDefault="00E2722E" w:rsidP="00695890">
            <w:pPr>
              <w:pStyle w:val="NoSpacing"/>
              <w:jc w:val="center"/>
              <w:rPr>
                <w:sz w:val="22"/>
                <w:szCs w:val="22"/>
              </w:rPr>
            </w:pPr>
          </w:p>
        </w:tc>
        <w:tc>
          <w:tcPr>
            <w:tcW w:w="448" w:type="pct"/>
            <w:vAlign w:val="center"/>
          </w:tcPr>
          <w:p w:rsidR="00E2722E" w:rsidRPr="00296E23" w:rsidRDefault="00E2722E" w:rsidP="00695890">
            <w:pPr>
              <w:pStyle w:val="NoSpacing"/>
              <w:jc w:val="center"/>
              <w:rPr>
                <w:sz w:val="22"/>
                <w:szCs w:val="22"/>
              </w:rPr>
            </w:pPr>
          </w:p>
        </w:tc>
        <w:tc>
          <w:tcPr>
            <w:tcW w:w="354" w:type="pct"/>
            <w:vAlign w:val="center"/>
          </w:tcPr>
          <w:p w:rsidR="00E2722E" w:rsidRPr="00296E23" w:rsidRDefault="00E2722E" w:rsidP="00695890">
            <w:pPr>
              <w:pStyle w:val="NoSpacing"/>
              <w:jc w:val="center"/>
              <w:rPr>
                <w:sz w:val="22"/>
                <w:szCs w:val="22"/>
              </w:rPr>
            </w:pPr>
          </w:p>
        </w:tc>
      </w:tr>
    </w:tbl>
    <w:p w:rsidR="00561902" w:rsidRDefault="00561902" w:rsidP="009206CF">
      <w:pPr>
        <w:pStyle w:val="Tabletitle"/>
        <w:rPr>
          <w:b/>
        </w:rPr>
      </w:pPr>
    </w:p>
    <w:p w:rsidR="00FD3A1D" w:rsidRDefault="00FD3A1D" w:rsidP="009206CF">
      <w:pPr>
        <w:pStyle w:val="Tabletitle"/>
        <w:rPr>
          <w:b/>
        </w:rPr>
      </w:pPr>
    </w:p>
    <w:p w:rsidR="00FD3A1D" w:rsidRPr="00FD3A1D" w:rsidRDefault="00FD3A1D" w:rsidP="009206CF">
      <w:pPr>
        <w:pStyle w:val="Tabletitle"/>
      </w:pPr>
      <w:r>
        <w:rPr>
          <w:b/>
        </w:rPr>
        <w:t>Table 4</w:t>
      </w:r>
      <w:r>
        <w:t xml:space="preserve"> and </w:t>
      </w:r>
      <w:r>
        <w:rPr>
          <w:b/>
        </w:rPr>
        <w:t xml:space="preserve">5 </w:t>
      </w:r>
      <w:r>
        <w:t xml:space="preserve">show the harvest limits and minimum size limits in the alternatives compared to state regulations (as of May 23, 2016). </w:t>
      </w:r>
    </w:p>
    <w:p w:rsidR="00FD3A1D" w:rsidRDefault="00FD3A1D" w:rsidP="009206CF">
      <w:pPr>
        <w:pStyle w:val="Tabletitle"/>
        <w:rPr>
          <w:b/>
        </w:rPr>
      </w:pPr>
    </w:p>
    <w:p w:rsidR="009206CF" w:rsidRDefault="009206CF" w:rsidP="009206CF">
      <w:pPr>
        <w:pStyle w:val="Tabletitle"/>
        <w:rPr>
          <w:b/>
        </w:rPr>
      </w:pPr>
      <w:proofErr w:type="gramStart"/>
      <w:r>
        <w:rPr>
          <w:b/>
        </w:rPr>
        <w:t xml:space="preserve">Table </w:t>
      </w:r>
      <w:r w:rsidR="00FD3A1D">
        <w:rPr>
          <w:b/>
        </w:rPr>
        <w:t>4</w:t>
      </w:r>
      <w:r>
        <w:rPr>
          <w:b/>
        </w:rPr>
        <w:t>.</w:t>
      </w:r>
      <w:proofErr w:type="gramEnd"/>
      <w:r>
        <w:t xml:space="preserve"> Bag limits and vessel limits in state waters of Virginia, North Carolina, South Carolina and Georgia, compared to limits in options</w:t>
      </w:r>
      <w:r w:rsidR="00C94D47">
        <w:t xml:space="preserve"> in </w:t>
      </w:r>
      <w:r w:rsidR="00C94D47">
        <w:rPr>
          <w:b/>
        </w:rPr>
        <w:t>Action 1-1,</w:t>
      </w:r>
      <w:r>
        <w:t xml:space="preserve"> </w:t>
      </w:r>
      <w:r>
        <w:rPr>
          <w:b/>
        </w:rPr>
        <w:t>Alternatives 2</w:t>
      </w:r>
      <w:r>
        <w:t xml:space="preserve"> and </w:t>
      </w:r>
      <w:r>
        <w:rPr>
          <w:b/>
        </w:rPr>
        <w:t>3.</w:t>
      </w:r>
      <w:bookmarkEnd w:id="7"/>
    </w:p>
    <w:tbl>
      <w:tblPr>
        <w:tblStyle w:val="TableGrid"/>
        <w:tblW w:w="0" w:type="auto"/>
        <w:tblLook w:val="04A0"/>
      </w:tblPr>
      <w:tblGrid>
        <w:gridCol w:w="1828"/>
        <w:gridCol w:w="1906"/>
        <w:gridCol w:w="2933"/>
        <w:gridCol w:w="2683"/>
      </w:tblGrid>
      <w:tr w:rsidR="009206CF" w:rsidTr="00695890">
        <w:tc>
          <w:tcPr>
            <w:tcW w:w="1828" w:type="dxa"/>
          </w:tcPr>
          <w:p w:rsidR="009206CF" w:rsidRDefault="009206CF" w:rsidP="00695890"/>
        </w:tc>
        <w:tc>
          <w:tcPr>
            <w:tcW w:w="1906" w:type="dxa"/>
          </w:tcPr>
          <w:p w:rsidR="009206CF" w:rsidRDefault="009206CF" w:rsidP="00695890">
            <w:r>
              <w:t>Bag limit</w:t>
            </w:r>
          </w:p>
        </w:tc>
        <w:tc>
          <w:tcPr>
            <w:tcW w:w="2933" w:type="dxa"/>
          </w:tcPr>
          <w:p w:rsidR="009206CF" w:rsidRDefault="009206CF" w:rsidP="00695890">
            <w:r>
              <w:t>Vessel limit</w:t>
            </w:r>
          </w:p>
        </w:tc>
        <w:tc>
          <w:tcPr>
            <w:tcW w:w="2683" w:type="dxa"/>
          </w:tcPr>
          <w:p w:rsidR="009206CF" w:rsidRDefault="009206CF" w:rsidP="00695890">
            <w:r>
              <w:t>Consistent Options</w:t>
            </w:r>
          </w:p>
        </w:tc>
      </w:tr>
      <w:tr w:rsidR="00C7325B" w:rsidTr="00695890">
        <w:tc>
          <w:tcPr>
            <w:tcW w:w="1828" w:type="dxa"/>
          </w:tcPr>
          <w:p w:rsidR="00C7325B" w:rsidRDefault="00C7325B" w:rsidP="00C7325B">
            <w:r>
              <w:t>Virginia</w:t>
            </w:r>
          </w:p>
        </w:tc>
        <w:tc>
          <w:tcPr>
            <w:tcW w:w="1906" w:type="dxa"/>
          </w:tcPr>
          <w:p w:rsidR="00C7325B" w:rsidRDefault="00C7325B" w:rsidP="00C7325B">
            <w:r>
              <w:t>1 fish</w:t>
            </w:r>
          </w:p>
        </w:tc>
        <w:tc>
          <w:tcPr>
            <w:tcW w:w="2933" w:type="dxa"/>
          </w:tcPr>
          <w:p w:rsidR="00C7325B" w:rsidRDefault="00C7325B" w:rsidP="00C7325B">
            <w:r w:rsidRPr="00D6100D">
              <w:rPr>
                <w:i/>
              </w:rPr>
              <w:t>2 fish</w:t>
            </w:r>
            <w:r>
              <w:t xml:space="preserve"> (effective 6/1/16)</w:t>
            </w:r>
          </w:p>
        </w:tc>
        <w:tc>
          <w:tcPr>
            <w:tcW w:w="2683" w:type="dxa"/>
          </w:tcPr>
          <w:p w:rsidR="00C7325B" w:rsidRDefault="00C7325B" w:rsidP="00C7325B">
            <w:r>
              <w:t>Option 2a, 3b</w:t>
            </w:r>
          </w:p>
        </w:tc>
      </w:tr>
      <w:tr w:rsidR="009206CF" w:rsidTr="00695890">
        <w:tc>
          <w:tcPr>
            <w:tcW w:w="1828" w:type="dxa"/>
          </w:tcPr>
          <w:p w:rsidR="009206CF" w:rsidRDefault="009206CF" w:rsidP="00695890">
            <w:r>
              <w:t>North Carolina</w:t>
            </w:r>
          </w:p>
        </w:tc>
        <w:tc>
          <w:tcPr>
            <w:tcW w:w="1906" w:type="dxa"/>
          </w:tcPr>
          <w:p w:rsidR="009206CF" w:rsidRDefault="009206CF" w:rsidP="00695890">
            <w:r>
              <w:t>1 fish</w:t>
            </w:r>
          </w:p>
        </w:tc>
        <w:tc>
          <w:tcPr>
            <w:tcW w:w="2933" w:type="dxa"/>
          </w:tcPr>
          <w:p w:rsidR="009206CF" w:rsidRDefault="009206CF" w:rsidP="00695890">
            <w:r>
              <w:t xml:space="preserve">For-hire: </w:t>
            </w:r>
            <w:r w:rsidRPr="009834CD">
              <w:rPr>
                <w:highlight w:val="yellow"/>
              </w:rPr>
              <w:t>4</w:t>
            </w:r>
            <w:r w:rsidR="00E96A02" w:rsidRPr="009834CD">
              <w:rPr>
                <w:highlight w:val="yellow"/>
              </w:rPr>
              <w:t>/ vessel,</w:t>
            </w:r>
            <w:r w:rsidRPr="009834CD">
              <w:rPr>
                <w:highlight w:val="yellow"/>
              </w:rPr>
              <w:t xml:space="preserve"> </w:t>
            </w:r>
            <w:r w:rsidR="00E96A02" w:rsidRPr="009834CD">
              <w:rPr>
                <w:highlight w:val="yellow"/>
              </w:rPr>
              <w:t>or 1/</w:t>
            </w:r>
            <w:r w:rsidRPr="009834CD">
              <w:rPr>
                <w:highlight w:val="yellow"/>
              </w:rPr>
              <w:t xml:space="preserve"> </w:t>
            </w:r>
            <w:r w:rsidR="00E96A02" w:rsidRPr="009834CD">
              <w:rPr>
                <w:highlight w:val="yellow"/>
              </w:rPr>
              <w:t>person when</w:t>
            </w:r>
            <w:r w:rsidRPr="009834CD">
              <w:rPr>
                <w:highlight w:val="yellow"/>
              </w:rPr>
              <w:t xml:space="preserve"> less than 4 people on board</w:t>
            </w:r>
          </w:p>
          <w:p w:rsidR="009206CF" w:rsidRDefault="009206CF" w:rsidP="00695890">
            <w:r>
              <w:t>Private: 2 fish on vessels with more than 1 person on board</w:t>
            </w:r>
          </w:p>
        </w:tc>
        <w:tc>
          <w:tcPr>
            <w:tcW w:w="2683" w:type="dxa"/>
          </w:tcPr>
          <w:p w:rsidR="009206CF" w:rsidRDefault="009206CF" w:rsidP="00695890">
            <w:r>
              <w:t>Options 2a, 3d (for-hire), 3b (private)</w:t>
            </w:r>
          </w:p>
        </w:tc>
      </w:tr>
      <w:tr w:rsidR="009206CF" w:rsidTr="00695890">
        <w:tc>
          <w:tcPr>
            <w:tcW w:w="1828" w:type="dxa"/>
          </w:tcPr>
          <w:p w:rsidR="009206CF" w:rsidRDefault="009206CF" w:rsidP="00695890">
            <w:r>
              <w:t>South Carolina – north of Jeremy Inlet, Edisto Island</w:t>
            </w:r>
          </w:p>
        </w:tc>
        <w:tc>
          <w:tcPr>
            <w:tcW w:w="1906" w:type="dxa"/>
          </w:tcPr>
          <w:p w:rsidR="009206CF" w:rsidRDefault="009206CF" w:rsidP="00695890">
            <w:r>
              <w:t>2 fish</w:t>
            </w:r>
          </w:p>
        </w:tc>
        <w:tc>
          <w:tcPr>
            <w:tcW w:w="2933" w:type="dxa"/>
          </w:tcPr>
          <w:p w:rsidR="009206CF" w:rsidRDefault="009206CF" w:rsidP="00695890">
            <w:r>
              <w:t>None</w:t>
            </w:r>
          </w:p>
        </w:tc>
        <w:tc>
          <w:tcPr>
            <w:tcW w:w="2683" w:type="dxa"/>
          </w:tcPr>
          <w:p w:rsidR="009206CF" w:rsidRDefault="009206CF" w:rsidP="00695890">
            <w:r>
              <w:t>Option 2b</w:t>
            </w:r>
          </w:p>
        </w:tc>
      </w:tr>
      <w:tr w:rsidR="009206CF" w:rsidTr="00695890">
        <w:tc>
          <w:tcPr>
            <w:tcW w:w="1828" w:type="dxa"/>
          </w:tcPr>
          <w:p w:rsidR="009206CF" w:rsidRDefault="009206CF" w:rsidP="00695890">
            <w:r>
              <w:t>South Carolina- south of Jeremy Inlet, Edisto Island</w:t>
            </w:r>
          </w:p>
        </w:tc>
        <w:tc>
          <w:tcPr>
            <w:tcW w:w="1906" w:type="dxa"/>
          </w:tcPr>
          <w:p w:rsidR="009206CF" w:rsidRDefault="009206CF" w:rsidP="00695890">
            <w:r>
              <w:t>1 fish June 1- Apr 30</w:t>
            </w:r>
          </w:p>
          <w:p w:rsidR="009206CF" w:rsidRDefault="009206CF" w:rsidP="00695890"/>
          <w:p w:rsidR="009206CF" w:rsidRDefault="009206CF" w:rsidP="00695890">
            <w:r>
              <w:t>Catch and release only May 1-May 31</w:t>
            </w:r>
          </w:p>
        </w:tc>
        <w:tc>
          <w:tcPr>
            <w:tcW w:w="2933" w:type="dxa"/>
          </w:tcPr>
          <w:p w:rsidR="009206CF" w:rsidRDefault="009206CF" w:rsidP="00695890">
            <w:r>
              <w:t>3 fish per vessel or 1 fish per person, whichever is lower</w:t>
            </w:r>
          </w:p>
        </w:tc>
        <w:tc>
          <w:tcPr>
            <w:tcW w:w="2683" w:type="dxa"/>
          </w:tcPr>
          <w:p w:rsidR="009206CF" w:rsidRDefault="009206CF" w:rsidP="00695890">
            <w:r>
              <w:t>June 1- Apr 30:</w:t>
            </w:r>
          </w:p>
          <w:p w:rsidR="009206CF" w:rsidRDefault="009206CF" w:rsidP="00695890">
            <w:r>
              <w:t>Options 2a and 3c</w:t>
            </w:r>
          </w:p>
        </w:tc>
      </w:tr>
      <w:tr w:rsidR="009206CF" w:rsidTr="00695890">
        <w:tc>
          <w:tcPr>
            <w:tcW w:w="1828" w:type="dxa"/>
          </w:tcPr>
          <w:p w:rsidR="009206CF" w:rsidRDefault="009206CF" w:rsidP="00695890">
            <w:r>
              <w:t>Georgia</w:t>
            </w:r>
          </w:p>
        </w:tc>
        <w:tc>
          <w:tcPr>
            <w:tcW w:w="1906" w:type="dxa"/>
          </w:tcPr>
          <w:p w:rsidR="009206CF" w:rsidRDefault="009206CF" w:rsidP="00695890">
            <w:r>
              <w:t>2 fish</w:t>
            </w:r>
          </w:p>
        </w:tc>
        <w:tc>
          <w:tcPr>
            <w:tcW w:w="2933" w:type="dxa"/>
          </w:tcPr>
          <w:p w:rsidR="009206CF" w:rsidRDefault="009206CF" w:rsidP="00695890">
            <w:r>
              <w:t>None</w:t>
            </w:r>
          </w:p>
        </w:tc>
        <w:tc>
          <w:tcPr>
            <w:tcW w:w="2683" w:type="dxa"/>
          </w:tcPr>
          <w:p w:rsidR="009206CF" w:rsidRDefault="009206CF" w:rsidP="00695890">
            <w:r>
              <w:t>Option 2b</w:t>
            </w:r>
          </w:p>
        </w:tc>
      </w:tr>
    </w:tbl>
    <w:p w:rsidR="00C94D47" w:rsidRDefault="00C94D47" w:rsidP="00C94D47">
      <w:pPr>
        <w:pStyle w:val="Tabletitle"/>
        <w:rPr>
          <w:b/>
        </w:rPr>
      </w:pPr>
      <w:bookmarkStart w:id="8" w:name="_Toc451721530"/>
      <w:proofErr w:type="gramStart"/>
      <w:r>
        <w:rPr>
          <w:b/>
        </w:rPr>
        <w:lastRenderedPageBreak/>
        <w:t xml:space="preserve">Table </w:t>
      </w:r>
      <w:r w:rsidR="00FD3A1D">
        <w:rPr>
          <w:b/>
        </w:rPr>
        <w:t>5</w:t>
      </w:r>
      <w:r>
        <w:rPr>
          <w:b/>
        </w:rPr>
        <w:t>.</w:t>
      </w:r>
      <w:proofErr w:type="gramEnd"/>
      <w:r>
        <w:t xml:space="preserve"> Minimum size limits in state waters of Virginia, North Carolina, South Carolina and Georgia, compared to limits in options under </w:t>
      </w:r>
      <w:r>
        <w:rPr>
          <w:b/>
        </w:rPr>
        <w:t>Action 1-2, Alternative 2.</w:t>
      </w:r>
      <w:bookmarkEnd w:id="8"/>
    </w:p>
    <w:tbl>
      <w:tblPr>
        <w:tblStyle w:val="TableGrid"/>
        <w:tblW w:w="0" w:type="auto"/>
        <w:tblLook w:val="04A0"/>
      </w:tblPr>
      <w:tblGrid>
        <w:gridCol w:w="1828"/>
        <w:gridCol w:w="2933"/>
        <w:gridCol w:w="2683"/>
      </w:tblGrid>
      <w:tr w:rsidR="00C94D47" w:rsidTr="00695890">
        <w:tc>
          <w:tcPr>
            <w:tcW w:w="1828" w:type="dxa"/>
          </w:tcPr>
          <w:p w:rsidR="00C94D47" w:rsidRDefault="00C94D47" w:rsidP="00695890"/>
        </w:tc>
        <w:tc>
          <w:tcPr>
            <w:tcW w:w="2933" w:type="dxa"/>
          </w:tcPr>
          <w:p w:rsidR="00C94D47" w:rsidRDefault="00C94D47" w:rsidP="00695890">
            <w:r>
              <w:t>Minimum size limit</w:t>
            </w:r>
          </w:p>
        </w:tc>
        <w:tc>
          <w:tcPr>
            <w:tcW w:w="2683" w:type="dxa"/>
          </w:tcPr>
          <w:p w:rsidR="00C94D47" w:rsidRDefault="00C94D47" w:rsidP="00695890">
            <w:r>
              <w:t>Consistent Options</w:t>
            </w:r>
          </w:p>
        </w:tc>
      </w:tr>
      <w:tr w:rsidR="00C7325B" w:rsidTr="00695890">
        <w:tc>
          <w:tcPr>
            <w:tcW w:w="1828" w:type="dxa"/>
          </w:tcPr>
          <w:p w:rsidR="00C7325B" w:rsidRDefault="00C7325B" w:rsidP="00C7325B">
            <w:r>
              <w:t>Virginia</w:t>
            </w:r>
          </w:p>
        </w:tc>
        <w:tc>
          <w:tcPr>
            <w:tcW w:w="2933" w:type="dxa"/>
          </w:tcPr>
          <w:p w:rsidR="00C7325B" w:rsidRDefault="00C7325B" w:rsidP="00C7325B">
            <w:r w:rsidRPr="00D6100D">
              <w:rPr>
                <w:i/>
              </w:rPr>
              <w:t>40</w:t>
            </w:r>
            <w:r>
              <w:rPr>
                <w:i/>
              </w:rPr>
              <w:t xml:space="preserve"> inches total</w:t>
            </w:r>
            <w:r w:rsidRPr="00D6100D">
              <w:rPr>
                <w:i/>
              </w:rPr>
              <w:t xml:space="preserve"> length</w:t>
            </w:r>
            <w:r>
              <w:t xml:space="preserve"> (effective 6/1/16)</w:t>
            </w:r>
          </w:p>
        </w:tc>
        <w:tc>
          <w:tcPr>
            <w:tcW w:w="2683" w:type="dxa"/>
          </w:tcPr>
          <w:p w:rsidR="00C7325B" w:rsidRDefault="00C7325B" w:rsidP="00C7325B">
            <w:r>
              <w:t>None, but comparable to Option 2b or 2c.</w:t>
            </w:r>
          </w:p>
        </w:tc>
      </w:tr>
      <w:tr w:rsidR="00C94D47" w:rsidTr="00695890">
        <w:tc>
          <w:tcPr>
            <w:tcW w:w="1828" w:type="dxa"/>
          </w:tcPr>
          <w:p w:rsidR="00C94D47" w:rsidRDefault="00C94D47" w:rsidP="00695890">
            <w:r>
              <w:t>North Carolina</w:t>
            </w:r>
          </w:p>
        </w:tc>
        <w:tc>
          <w:tcPr>
            <w:tcW w:w="2933" w:type="dxa"/>
          </w:tcPr>
          <w:p w:rsidR="00C94D47" w:rsidRDefault="00C94D47" w:rsidP="00695890">
            <w:r>
              <w:t>37 inches fork length</w:t>
            </w:r>
          </w:p>
        </w:tc>
        <w:tc>
          <w:tcPr>
            <w:tcW w:w="2683" w:type="dxa"/>
          </w:tcPr>
          <w:p w:rsidR="00C94D47" w:rsidRDefault="00907B94" w:rsidP="00695890">
            <w:r>
              <w:t xml:space="preserve">Option </w:t>
            </w:r>
            <w:r w:rsidRPr="00907B94">
              <w:rPr>
                <w:highlight w:val="yellow"/>
              </w:rPr>
              <w:t>2</w:t>
            </w:r>
            <w:r w:rsidR="00C94D47" w:rsidRPr="00907B94">
              <w:rPr>
                <w:highlight w:val="yellow"/>
              </w:rPr>
              <w:t>d</w:t>
            </w:r>
            <w:r w:rsidR="00C94D47">
              <w:t xml:space="preserve"> </w:t>
            </w:r>
          </w:p>
        </w:tc>
      </w:tr>
      <w:tr w:rsidR="00C94D47" w:rsidTr="00695890">
        <w:tc>
          <w:tcPr>
            <w:tcW w:w="1828" w:type="dxa"/>
          </w:tcPr>
          <w:p w:rsidR="00C94D47" w:rsidRDefault="00C94D47" w:rsidP="00695890">
            <w:r>
              <w:t>South Carolina</w:t>
            </w:r>
          </w:p>
        </w:tc>
        <w:tc>
          <w:tcPr>
            <w:tcW w:w="2933" w:type="dxa"/>
          </w:tcPr>
          <w:p w:rsidR="00C94D47" w:rsidRDefault="00C94D47" w:rsidP="00695890">
            <w:r>
              <w:t>33 inches fork length</w:t>
            </w:r>
          </w:p>
        </w:tc>
        <w:tc>
          <w:tcPr>
            <w:tcW w:w="2683" w:type="dxa"/>
          </w:tcPr>
          <w:p w:rsidR="00C94D47" w:rsidRDefault="00C94D47" w:rsidP="00695890">
            <w:r>
              <w:t>Alt 1 No Action</w:t>
            </w:r>
          </w:p>
        </w:tc>
      </w:tr>
      <w:tr w:rsidR="00C94D47" w:rsidTr="00695890">
        <w:tc>
          <w:tcPr>
            <w:tcW w:w="1828" w:type="dxa"/>
          </w:tcPr>
          <w:p w:rsidR="00C94D47" w:rsidRDefault="00C94D47" w:rsidP="00695890">
            <w:r>
              <w:t>Georgia</w:t>
            </w:r>
          </w:p>
        </w:tc>
        <w:tc>
          <w:tcPr>
            <w:tcW w:w="2933" w:type="dxa"/>
          </w:tcPr>
          <w:p w:rsidR="00C94D47" w:rsidRDefault="00C94D47" w:rsidP="00695890">
            <w:r>
              <w:t>33 inches fork length</w:t>
            </w:r>
          </w:p>
        </w:tc>
        <w:tc>
          <w:tcPr>
            <w:tcW w:w="2683" w:type="dxa"/>
          </w:tcPr>
          <w:p w:rsidR="00C94D47" w:rsidRDefault="00C94D47" w:rsidP="00695890">
            <w:r>
              <w:t>Alt 1 No Action</w:t>
            </w:r>
          </w:p>
        </w:tc>
      </w:tr>
    </w:tbl>
    <w:p w:rsidR="002E691A" w:rsidRDefault="002E691A" w:rsidP="00EE0FF7">
      <w:pPr>
        <w:rPr>
          <w:b/>
          <w:u w:val="single"/>
        </w:rPr>
      </w:pPr>
    </w:p>
    <w:p w:rsidR="002B1C4F" w:rsidRDefault="002B1C4F"/>
    <w:p w:rsidR="00E671EB" w:rsidRDefault="00E671EB">
      <w:bookmarkStart w:id="9" w:name="_Toc388452787"/>
    </w:p>
    <w:tbl>
      <w:tblPr>
        <w:tblStyle w:val="TableGrid"/>
        <w:tblW w:w="5000" w:type="pct"/>
        <w:tblBorders>
          <w:insideH w:val="none" w:sz="0" w:space="0" w:color="auto"/>
          <w:insideV w:val="none" w:sz="0" w:space="0" w:color="auto"/>
        </w:tblBorders>
        <w:tblLook w:val="04A0"/>
      </w:tblPr>
      <w:tblGrid>
        <w:gridCol w:w="10296"/>
      </w:tblGrid>
      <w:tr w:rsidR="002E2276" w:rsidTr="003D26DC">
        <w:trPr>
          <w:trHeight w:val="395"/>
        </w:trPr>
        <w:tc>
          <w:tcPr>
            <w:tcW w:w="5000" w:type="pct"/>
            <w:shd w:val="clear" w:color="auto" w:fill="D9D9D9" w:themeFill="background1" w:themeFillShade="D9"/>
          </w:tcPr>
          <w:p w:rsidR="002E2276" w:rsidRDefault="006E4101" w:rsidP="003D26DC">
            <w:r>
              <w:t>Public input</w:t>
            </w:r>
          </w:p>
        </w:tc>
      </w:tr>
      <w:tr w:rsidR="002E2276" w:rsidTr="003D26DC">
        <w:trPr>
          <w:trHeight w:val="585"/>
        </w:trPr>
        <w:tc>
          <w:tcPr>
            <w:tcW w:w="5000" w:type="pct"/>
          </w:tcPr>
          <w:p w:rsidR="00FD3A1D" w:rsidRPr="00FD3A1D" w:rsidRDefault="00FD3A1D" w:rsidP="00FD3A1D">
            <w:pPr>
              <w:rPr>
                <w:rFonts w:eastAsiaTheme="minorHAnsi" w:cstheme="minorBidi"/>
                <w:bCs/>
              </w:rPr>
            </w:pPr>
            <w:r w:rsidRPr="00FD3A1D">
              <w:rPr>
                <w:rFonts w:eastAsiaTheme="minorHAnsi" w:cstheme="minorBidi"/>
                <w:bCs/>
              </w:rPr>
              <w:t>- Implement a captain/crew exclusion on the cobia bag limit</w:t>
            </w:r>
          </w:p>
          <w:p w:rsidR="00FD3A1D" w:rsidRPr="00FD3A1D" w:rsidRDefault="00FD3A1D" w:rsidP="00FD3A1D">
            <w:pPr>
              <w:rPr>
                <w:rFonts w:eastAsiaTheme="minorHAnsi" w:cstheme="minorBidi"/>
                <w:bCs/>
              </w:rPr>
            </w:pPr>
            <w:r w:rsidRPr="00FD3A1D">
              <w:rPr>
                <w:rFonts w:eastAsiaTheme="minorHAnsi" w:cstheme="minorBidi"/>
                <w:bCs/>
              </w:rPr>
              <w:t>- Vessel limit of 6 fish/ 3 fish/ 2 fish/ 1 fish (several comments addressed vessel limits)</w:t>
            </w:r>
          </w:p>
          <w:p w:rsidR="00FD3A1D" w:rsidRPr="00FD3A1D" w:rsidRDefault="00FD3A1D" w:rsidP="00FD3A1D">
            <w:pPr>
              <w:rPr>
                <w:rFonts w:eastAsiaTheme="minorHAnsi" w:cstheme="minorBidi"/>
                <w:bCs/>
              </w:rPr>
            </w:pPr>
            <w:r w:rsidRPr="00FD3A1D">
              <w:rPr>
                <w:rFonts w:eastAsiaTheme="minorHAnsi" w:cstheme="minorBidi"/>
                <w:bCs/>
              </w:rPr>
              <w:t>- Vessel limits for charter and private recreational should be the same.</w:t>
            </w:r>
          </w:p>
          <w:p w:rsidR="00FD3A1D" w:rsidRPr="00FD3A1D" w:rsidRDefault="00FD3A1D" w:rsidP="00FD3A1D">
            <w:pPr>
              <w:rPr>
                <w:rFonts w:eastAsiaTheme="minorHAnsi" w:cstheme="minorBidi"/>
                <w:bCs/>
              </w:rPr>
            </w:pPr>
            <w:r w:rsidRPr="00FD3A1D">
              <w:rPr>
                <w:rFonts w:eastAsiaTheme="minorHAnsi" w:cstheme="minorBidi"/>
                <w:bCs/>
              </w:rPr>
              <w:t>- 1 fish per day bag limit</w:t>
            </w:r>
          </w:p>
          <w:p w:rsidR="00FD3A1D" w:rsidRPr="00FD3A1D" w:rsidRDefault="00FD3A1D" w:rsidP="00FD3A1D">
            <w:pPr>
              <w:rPr>
                <w:rFonts w:eastAsiaTheme="minorHAnsi" w:cstheme="minorBidi"/>
                <w:bCs/>
              </w:rPr>
            </w:pPr>
            <w:r w:rsidRPr="00FD3A1D">
              <w:rPr>
                <w:rFonts w:eastAsiaTheme="minorHAnsi" w:cstheme="minorBidi"/>
                <w:bCs/>
              </w:rPr>
              <w:t>- Increase the minimum size limit</w:t>
            </w:r>
          </w:p>
          <w:p w:rsidR="00FD3A1D" w:rsidRPr="00FD3A1D" w:rsidRDefault="00FD3A1D" w:rsidP="00FD3A1D">
            <w:pPr>
              <w:rPr>
                <w:rFonts w:eastAsiaTheme="minorHAnsi" w:cstheme="minorBidi"/>
                <w:bCs/>
              </w:rPr>
            </w:pPr>
            <w:r w:rsidRPr="00FD3A1D">
              <w:rPr>
                <w:rFonts w:eastAsiaTheme="minorHAnsi" w:cstheme="minorBidi"/>
                <w:bCs/>
              </w:rPr>
              <w:t>- Increase the minimum size limit incrementally during the year</w:t>
            </w:r>
          </w:p>
          <w:p w:rsidR="00FD3A1D" w:rsidRPr="00FD3A1D" w:rsidRDefault="00FD3A1D" w:rsidP="00FD3A1D">
            <w:pPr>
              <w:rPr>
                <w:rFonts w:eastAsiaTheme="minorHAnsi" w:cstheme="minorBidi"/>
                <w:bCs/>
              </w:rPr>
            </w:pPr>
            <w:r w:rsidRPr="00FD3A1D">
              <w:rPr>
                <w:rFonts w:eastAsiaTheme="minorHAnsi" w:cstheme="minorBidi"/>
                <w:bCs/>
              </w:rPr>
              <w:t>- Limit the number of cobia over a certain size that can be kept, per vessel.</w:t>
            </w:r>
          </w:p>
          <w:p w:rsidR="002E2276" w:rsidRDefault="002E2276" w:rsidP="003D26DC"/>
          <w:p w:rsidR="00DB68B5" w:rsidRDefault="00DB68B5" w:rsidP="003D26DC">
            <w:r>
              <w:t>Online form comments:</w:t>
            </w:r>
          </w:p>
          <w:p w:rsidR="00DB68B5" w:rsidRDefault="00DB68B5" w:rsidP="003D26DC">
            <w:r>
              <w:t>- 1/person and no vessel limit</w:t>
            </w:r>
          </w:p>
          <w:p w:rsidR="00DB68B5" w:rsidRDefault="00DB68B5" w:rsidP="003D26DC">
            <w:r>
              <w:t>- 1/person and 4/ vessel</w:t>
            </w:r>
          </w:p>
          <w:p w:rsidR="00240D64" w:rsidRDefault="00240D64" w:rsidP="00240D64">
            <w:r>
              <w:t>- 1/person and 3/ vessel with only one over 50”</w:t>
            </w:r>
          </w:p>
          <w:p w:rsidR="00240D64" w:rsidRDefault="00240D64" w:rsidP="00240D64">
            <w:r>
              <w:t>- 1/person and 2/ vessel</w:t>
            </w:r>
          </w:p>
          <w:p w:rsidR="00240D64" w:rsidRDefault="00240D64" w:rsidP="00240D64">
            <w:r>
              <w:t>- 2/person and 6/ vessel, whichever less</w:t>
            </w:r>
          </w:p>
          <w:p w:rsidR="00240D64" w:rsidRDefault="00240D64" w:rsidP="003D26DC">
            <w:r>
              <w:t>- 36” FL</w:t>
            </w:r>
          </w:p>
          <w:p w:rsidR="00DB68B5" w:rsidRDefault="00DB68B5" w:rsidP="003D26DC">
            <w:r>
              <w:t>- 37” FL</w:t>
            </w:r>
          </w:p>
          <w:p w:rsidR="00907B94" w:rsidRDefault="00907B94" w:rsidP="003D26DC">
            <w:r>
              <w:t>- No change to minimum size limit</w:t>
            </w:r>
            <w:bookmarkStart w:id="10" w:name="_GoBack"/>
            <w:bookmarkEnd w:id="10"/>
          </w:p>
          <w:p w:rsidR="00DB68B5" w:rsidRDefault="00DB68B5" w:rsidP="003D26DC">
            <w:r>
              <w:t xml:space="preserve">- Limits apply to both charter and private </w:t>
            </w:r>
          </w:p>
        </w:tc>
      </w:tr>
    </w:tbl>
    <w:p w:rsidR="002E2276" w:rsidRDefault="002E2276"/>
    <w:p w:rsidR="00FD3A1D" w:rsidRDefault="00FD3A1D" w:rsidP="00FD3A1D"/>
    <w:p w:rsidR="00E671EB" w:rsidRPr="0041651C" w:rsidRDefault="002E2276" w:rsidP="00E671EB">
      <w:pPr>
        <w:pStyle w:val="Heading2"/>
        <w:rPr>
          <w:b/>
        </w:rPr>
      </w:pPr>
      <w:r>
        <w:rPr>
          <w:b/>
        </w:rPr>
        <w:t>COMMITTEE ACTIONS</w:t>
      </w:r>
    </w:p>
    <w:p w:rsidR="00FD3A1D" w:rsidRDefault="00FD3A1D" w:rsidP="00E671EB">
      <w:pPr>
        <w:rPr>
          <w:sz w:val="28"/>
          <w:szCs w:val="28"/>
        </w:rPr>
      </w:pPr>
    </w:p>
    <w:p w:rsidR="00FD3A1D" w:rsidRDefault="00E671EB" w:rsidP="00E671EB">
      <w:pPr>
        <w:rPr>
          <w:sz w:val="28"/>
          <w:szCs w:val="28"/>
        </w:rPr>
      </w:pPr>
      <w:r w:rsidRPr="0041651C">
        <w:rPr>
          <w:sz w:val="28"/>
          <w:szCs w:val="28"/>
        </w:rPr>
        <w:t xml:space="preserve">1) </w:t>
      </w:r>
      <w:r>
        <w:rPr>
          <w:sz w:val="28"/>
          <w:szCs w:val="28"/>
        </w:rPr>
        <w:t xml:space="preserve"> </w:t>
      </w:r>
      <w:r w:rsidR="00FD3A1D">
        <w:rPr>
          <w:sz w:val="28"/>
          <w:szCs w:val="28"/>
        </w:rPr>
        <w:t xml:space="preserve">Do you want to add </w:t>
      </w:r>
      <w:r w:rsidR="00FD3A1D" w:rsidRPr="00FD3A1D">
        <w:rPr>
          <w:b/>
          <w:sz w:val="28"/>
          <w:szCs w:val="28"/>
        </w:rPr>
        <w:t>Action 1-1</w:t>
      </w:r>
      <w:r w:rsidR="00FD3A1D">
        <w:rPr>
          <w:sz w:val="28"/>
          <w:szCs w:val="28"/>
        </w:rPr>
        <w:t xml:space="preserve"> (recreational harvest limits)?</w:t>
      </w:r>
    </w:p>
    <w:p w:rsidR="00FD3A1D" w:rsidRDefault="00FD3A1D" w:rsidP="00E671EB">
      <w:pPr>
        <w:rPr>
          <w:sz w:val="28"/>
          <w:szCs w:val="28"/>
        </w:rPr>
      </w:pPr>
      <w:r>
        <w:rPr>
          <w:sz w:val="28"/>
          <w:szCs w:val="28"/>
        </w:rPr>
        <w:t xml:space="preserve">2) Do you want to add the draft alternatives and options? </w:t>
      </w:r>
      <w:r>
        <w:rPr>
          <w:sz w:val="28"/>
          <w:szCs w:val="28"/>
        </w:rPr>
        <w:tab/>
      </w:r>
    </w:p>
    <w:p w:rsidR="002E2276" w:rsidRDefault="00FD3A1D" w:rsidP="00FD3A1D">
      <w:pPr>
        <w:ind w:firstLine="720"/>
        <w:rPr>
          <w:sz w:val="28"/>
          <w:szCs w:val="28"/>
        </w:rPr>
      </w:pPr>
      <w:r>
        <w:rPr>
          <w:sz w:val="28"/>
          <w:szCs w:val="28"/>
        </w:rPr>
        <w:t>- Revise,</w:t>
      </w:r>
      <w:r w:rsidR="002E2276">
        <w:rPr>
          <w:sz w:val="28"/>
          <w:szCs w:val="28"/>
        </w:rPr>
        <w:t xml:space="preserve"> </w:t>
      </w:r>
      <w:r>
        <w:rPr>
          <w:sz w:val="28"/>
          <w:szCs w:val="28"/>
        </w:rPr>
        <w:t>remove or add alternatives/options</w:t>
      </w:r>
    </w:p>
    <w:p w:rsidR="002E2276" w:rsidRDefault="002E2276" w:rsidP="00E671EB">
      <w:pPr>
        <w:rPr>
          <w:sz w:val="28"/>
          <w:szCs w:val="28"/>
        </w:rPr>
      </w:pPr>
    </w:p>
    <w:p w:rsidR="00FD3A1D" w:rsidRDefault="00FD3A1D" w:rsidP="00FD3A1D">
      <w:pPr>
        <w:rPr>
          <w:sz w:val="28"/>
          <w:szCs w:val="28"/>
        </w:rPr>
      </w:pPr>
      <w:r>
        <w:rPr>
          <w:sz w:val="28"/>
          <w:szCs w:val="28"/>
        </w:rPr>
        <w:t>3</w:t>
      </w:r>
      <w:r w:rsidRPr="0041651C">
        <w:rPr>
          <w:sz w:val="28"/>
          <w:szCs w:val="28"/>
        </w:rPr>
        <w:t xml:space="preserve">) </w:t>
      </w:r>
      <w:r>
        <w:rPr>
          <w:sz w:val="28"/>
          <w:szCs w:val="28"/>
        </w:rPr>
        <w:t xml:space="preserve"> Do you want to add </w:t>
      </w:r>
      <w:r w:rsidRPr="00FD3A1D">
        <w:rPr>
          <w:b/>
          <w:sz w:val="28"/>
          <w:szCs w:val="28"/>
        </w:rPr>
        <w:t>Action 1-2</w:t>
      </w:r>
      <w:r>
        <w:rPr>
          <w:sz w:val="28"/>
          <w:szCs w:val="28"/>
        </w:rPr>
        <w:t xml:space="preserve"> (recreational minimum size limit)?</w:t>
      </w:r>
    </w:p>
    <w:p w:rsidR="00FD3A1D" w:rsidRDefault="00FD3A1D" w:rsidP="00FD3A1D">
      <w:pPr>
        <w:rPr>
          <w:sz w:val="28"/>
          <w:szCs w:val="28"/>
        </w:rPr>
      </w:pPr>
      <w:r>
        <w:rPr>
          <w:sz w:val="28"/>
          <w:szCs w:val="28"/>
        </w:rPr>
        <w:t xml:space="preserve">4) Do you want to add the draft alternatives and options? </w:t>
      </w:r>
      <w:r>
        <w:rPr>
          <w:sz w:val="28"/>
          <w:szCs w:val="28"/>
        </w:rPr>
        <w:tab/>
      </w:r>
    </w:p>
    <w:p w:rsidR="00FD3A1D" w:rsidRDefault="00FD3A1D" w:rsidP="00FD3A1D">
      <w:pPr>
        <w:ind w:firstLine="720"/>
        <w:rPr>
          <w:sz w:val="28"/>
          <w:szCs w:val="28"/>
        </w:rPr>
      </w:pPr>
      <w:r>
        <w:rPr>
          <w:sz w:val="28"/>
          <w:szCs w:val="28"/>
        </w:rPr>
        <w:t>-Revise, remove or add alternatives/options</w:t>
      </w:r>
    </w:p>
    <w:p w:rsidR="00FD3A1D" w:rsidRDefault="00FD3A1D" w:rsidP="00E671EB">
      <w:pPr>
        <w:rPr>
          <w:sz w:val="28"/>
          <w:szCs w:val="28"/>
        </w:rPr>
      </w:pPr>
    </w:p>
    <w:p w:rsidR="00E671EB" w:rsidRDefault="00FD3A1D" w:rsidP="00E671EB">
      <w:pPr>
        <w:rPr>
          <w:sz w:val="28"/>
          <w:szCs w:val="28"/>
        </w:rPr>
      </w:pPr>
      <w:r>
        <w:rPr>
          <w:sz w:val="28"/>
          <w:szCs w:val="28"/>
        </w:rPr>
        <w:t>5</w:t>
      </w:r>
      <w:r w:rsidR="002E2276">
        <w:rPr>
          <w:sz w:val="28"/>
          <w:szCs w:val="28"/>
        </w:rPr>
        <w:t xml:space="preserve">) </w:t>
      </w:r>
      <w:r>
        <w:rPr>
          <w:sz w:val="28"/>
          <w:szCs w:val="28"/>
        </w:rPr>
        <w:t>Do you want to select</w:t>
      </w:r>
      <w:r w:rsidR="00E671EB">
        <w:rPr>
          <w:sz w:val="28"/>
          <w:szCs w:val="28"/>
        </w:rPr>
        <w:t xml:space="preserve"> Preferred Alternative</w:t>
      </w:r>
      <w:r>
        <w:rPr>
          <w:sz w:val="28"/>
          <w:szCs w:val="28"/>
        </w:rPr>
        <w:t>s/Options</w:t>
      </w:r>
      <w:r w:rsidR="00E671EB">
        <w:rPr>
          <w:sz w:val="28"/>
          <w:szCs w:val="28"/>
        </w:rPr>
        <w:t xml:space="preserve">? </w:t>
      </w:r>
    </w:p>
    <w:p w:rsidR="006D42DE" w:rsidRDefault="006D42DE">
      <w:pPr>
        <w:rPr>
          <w:rFonts w:eastAsia="Times New Roman"/>
          <w:b/>
          <w:bCs/>
          <w:kern w:val="32"/>
          <w:sz w:val="28"/>
          <w:szCs w:val="32"/>
          <w:u w:val="single"/>
          <w:lang/>
        </w:rPr>
      </w:pPr>
      <w:r>
        <w:br w:type="page"/>
      </w:r>
    </w:p>
    <w:p w:rsidR="006E4101" w:rsidRDefault="006E4101" w:rsidP="006E4101">
      <w:pPr>
        <w:pStyle w:val="Heading1"/>
      </w:pPr>
      <w:bookmarkStart w:id="11" w:name="_Toc451721866"/>
      <w:bookmarkStart w:id="12" w:name="_Toc388452789"/>
      <w:bookmarkEnd w:id="9"/>
      <w:r>
        <w:rPr>
          <w:i/>
        </w:rPr>
        <w:lastRenderedPageBreak/>
        <w:t xml:space="preserve">Draft </w:t>
      </w:r>
      <w:r>
        <w:t xml:space="preserve">Action 2: Modify the fishing year for </w:t>
      </w:r>
      <w:r w:rsidR="00B92F32" w:rsidRPr="00B92F32">
        <w:rPr>
          <w:highlight w:val="yellow"/>
          <w:lang w:val="en-US"/>
        </w:rPr>
        <w:t>recreational</w:t>
      </w:r>
      <w:r w:rsidR="00B92F32">
        <w:rPr>
          <w:lang w:val="en-US"/>
        </w:rPr>
        <w:t xml:space="preserve"> </w:t>
      </w:r>
      <w:r>
        <w:t>Atlantic cobia</w:t>
      </w:r>
      <w:bookmarkEnd w:id="11"/>
    </w:p>
    <w:p w:rsidR="006E4101" w:rsidRDefault="006E4101" w:rsidP="006E4101"/>
    <w:p w:rsidR="006E4101" w:rsidRDefault="006E4101" w:rsidP="006E4101">
      <w:proofErr w:type="gramStart"/>
      <w:r>
        <w:rPr>
          <w:b/>
        </w:rPr>
        <w:t>Alternative 1 (No Action).</w:t>
      </w:r>
      <w:proofErr w:type="gramEnd"/>
      <w:r>
        <w:t xml:space="preserve"> Do not modify the current fishing </w:t>
      </w:r>
      <w:r w:rsidRPr="00982D8F">
        <w:t>year of</w:t>
      </w:r>
      <w:r>
        <w:t xml:space="preserve"> January 1 through December 31. </w:t>
      </w:r>
    </w:p>
    <w:p w:rsidR="006E4101" w:rsidRDefault="006E4101" w:rsidP="006E4101"/>
    <w:p w:rsidR="006E4101" w:rsidRDefault="006E4101" w:rsidP="006E4101">
      <w:proofErr w:type="gramStart"/>
      <w:r>
        <w:rPr>
          <w:b/>
        </w:rPr>
        <w:t>Alternative 2</w:t>
      </w:r>
      <w:r>
        <w:t>.</w:t>
      </w:r>
      <w:proofErr w:type="gramEnd"/>
      <w:r>
        <w:t xml:space="preserve">  Modify the fishing year for Atlantic cobia to be May 1 through April 30. </w:t>
      </w:r>
    </w:p>
    <w:p w:rsidR="006E4101" w:rsidRDefault="006E4101" w:rsidP="006E4101">
      <w:r>
        <w:t xml:space="preserve">  </w:t>
      </w:r>
    </w:p>
    <w:p w:rsidR="006E4101" w:rsidRDefault="006E4101" w:rsidP="006E4101">
      <w:proofErr w:type="gramStart"/>
      <w:r>
        <w:rPr>
          <w:b/>
        </w:rPr>
        <w:t>Alternative 3</w:t>
      </w:r>
      <w:r>
        <w:t>.</w:t>
      </w:r>
      <w:proofErr w:type="gramEnd"/>
      <w:r>
        <w:t xml:space="preserve">  Modify the fishing year for Atlantic cobia to be June 1 through May 31. </w:t>
      </w:r>
    </w:p>
    <w:p w:rsidR="00695890" w:rsidRDefault="00695890" w:rsidP="006E4101"/>
    <w:p w:rsidR="00695890" w:rsidRDefault="00695890" w:rsidP="006E4101">
      <w:proofErr w:type="gramStart"/>
      <w:r w:rsidRPr="00695890">
        <w:rPr>
          <w:b/>
        </w:rPr>
        <w:t>Alternative 4</w:t>
      </w:r>
      <w:r>
        <w:t>.</w:t>
      </w:r>
      <w:proofErr w:type="gramEnd"/>
      <w:r>
        <w:t xml:space="preserve">  Modify the fishing year for Atlantic cobia to be April 1 through March 31.</w:t>
      </w:r>
    </w:p>
    <w:p w:rsidR="006E4101" w:rsidRDefault="006E4101" w:rsidP="006E4101"/>
    <w:p w:rsidR="006E4101" w:rsidRPr="00B92F32" w:rsidRDefault="006E4101" w:rsidP="006E4101">
      <w:pPr>
        <w:rPr>
          <w:strike/>
        </w:rPr>
      </w:pPr>
      <w:r w:rsidRPr="00B92F32">
        <w:rPr>
          <w:b/>
          <w:strike/>
        </w:rPr>
        <w:t xml:space="preserve">Potential Alternative </w:t>
      </w:r>
      <w:r w:rsidR="00695890" w:rsidRPr="00B92F32">
        <w:rPr>
          <w:b/>
          <w:strike/>
        </w:rPr>
        <w:t>X</w:t>
      </w:r>
      <w:r w:rsidRPr="00B92F32">
        <w:rPr>
          <w:strike/>
        </w:rPr>
        <w:t>. Establish a closed season for Atlantic cobia.</w:t>
      </w:r>
    </w:p>
    <w:p w:rsidR="006E4101" w:rsidRPr="00B92F32" w:rsidRDefault="006E4101" w:rsidP="006E4101">
      <w:pPr>
        <w:ind w:firstLine="720"/>
        <w:rPr>
          <w:strike/>
        </w:rPr>
      </w:pPr>
      <w:proofErr w:type="gramStart"/>
      <w:r w:rsidRPr="00B92F32">
        <w:rPr>
          <w:b/>
          <w:strike/>
        </w:rPr>
        <w:t>Option 4a</w:t>
      </w:r>
      <w:r w:rsidRPr="00B92F32">
        <w:rPr>
          <w:strike/>
        </w:rPr>
        <w:t>.</w:t>
      </w:r>
      <w:proofErr w:type="gramEnd"/>
      <w:r w:rsidRPr="00B92F32">
        <w:rPr>
          <w:strike/>
        </w:rPr>
        <w:t xml:space="preserve"> Closed May 1 – May 31</w:t>
      </w:r>
    </w:p>
    <w:p w:rsidR="006E4101" w:rsidRPr="00B92F32" w:rsidRDefault="006E4101" w:rsidP="006E4101">
      <w:pPr>
        <w:ind w:firstLine="720"/>
        <w:rPr>
          <w:strike/>
        </w:rPr>
      </w:pPr>
      <w:proofErr w:type="gramStart"/>
      <w:r w:rsidRPr="00B92F32">
        <w:rPr>
          <w:b/>
          <w:strike/>
        </w:rPr>
        <w:t>Option 4b</w:t>
      </w:r>
      <w:r w:rsidRPr="00B92F32">
        <w:rPr>
          <w:strike/>
        </w:rPr>
        <w:t>.</w:t>
      </w:r>
      <w:proofErr w:type="gramEnd"/>
      <w:r w:rsidRPr="00B92F32">
        <w:rPr>
          <w:strike/>
        </w:rPr>
        <w:t xml:space="preserve"> Closed May 1 – June 30</w:t>
      </w:r>
    </w:p>
    <w:p w:rsidR="006E4101" w:rsidRDefault="006E4101" w:rsidP="006E4101">
      <w:pPr>
        <w:ind w:firstLine="720"/>
      </w:pPr>
    </w:p>
    <w:p w:rsidR="006E4101" w:rsidRDefault="006E4101" w:rsidP="006E4101">
      <w:r>
        <w:t>NOTE: The Council may decide for this action to apply to only one sector or to both sectors.</w:t>
      </w:r>
    </w:p>
    <w:p w:rsidR="008F10BF" w:rsidRDefault="008F10BF" w:rsidP="00F01B0F">
      <w:pPr>
        <w:rPr>
          <w:bCs/>
        </w:rPr>
      </w:pPr>
    </w:p>
    <w:p w:rsidR="00FD3A1D" w:rsidRDefault="00FD3A1D" w:rsidP="00FD3A1D">
      <w:pPr>
        <w:pStyle w:val="NoSpacing"/>
        <w:rPr>
          <w:b/>
        </w:rPr>
      </w:pPr>
      <w:r>
        <w:rPr>
          <w:noProof/>
        </w:rPr>
        <w:drawing>
          <wp:inline distT="0" distB="0" distL="0" distR="0">
            <wp:extent cx="6286500" cy="408432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3A1D" w:rsidRPr="006A32B7" w:rsidRDefault="00FD3A1D" w:rsidP="00FD3A1D">
      <w:pPr>
        <w:pStyle w:val="Figuretitle"/>
      </w:pPr>
      <w:bookmarkStart w:id="13" w:name="_Toc451721460"/>
      <w:proofErr w:type="gramStart"/>
      <w:r w:rsidRPr="006A32B7">
        <w:rPr>
          <w:b/>
        </w:rPr>
        <w:t xml:space="preserve">Figure </w:t>
      </w:r>
      <w:r>
        <w:rPr>
          <w:b/>
        </w:rPr>
        <w:t>2</w:t>
      </w:r>
      <w:r w:rsidRPr="006A32B7">
        <w:rPr>
          <w:b/>
        </w:rPr>
        <w:t>.</w:t>
      </w:r>
      <w:proofErr w:type="gramEnd"/>
      <w:r w:rsidRPr="006A32B7">
        <w:t xml:space="preserve">  Atlantic recreational landings for January-October of 2013, 2014, 2015, average 2013-2015 landings, and average 2014-2015 landings by two-month wave.  The land</w:t>
      </w:r>
      <w:r>
        <w:t xml:space="preserve">ings for 2015 are preliminary.  </w:t>
      </w:r>
      <w:r w:rsidRPr="006A32B7">
        <w:t>Source: SEFSC Recreational ACL Dataset</w:t>
      </w:r>
      <w:bookmarkEnd w:id="13"/>
    </w:p>
    <w:p w:rsidR="00FD3A1D" w:rsidRDefault="00FD3A1D" w:rsidP="00F01B0F">
      <w:pPr>
        <w:rPr>
          <w:bCs/>
        </w:rPr>
      </w:pPr>
    </w:p>
    <w:p w:rsidR="00FD3A1D" w:rsidRDefault="00FD3A1D" w:rsidP="00F01B0F">
      <w:pPr>
        <w:rPr>
          <w:bCs/>
        </w:rPr>
      </w:pPr>
    </w:p>
    <w:tbl>
      <w:tblPr>
        <w:tblStyle w:val="TableGrid"/>
        <w:tblW w:w="5000" w:type="pct"/>
        <w:tblBorders>
          <w:insideH w:val="none" w:sz="0" w:space="0" w:color="auto"/>
          <w:insideV w:val="none" w:sz="0" w:space="0" w:color="auto"/>
        </w:tblBorders>
        <w:tblLook w:val="04A0"/>
      </w:tblPr>
      <w:tblGrid>
        <w:gridCol w:w="10296"/>
      </w:tblGrid>
      <w:tr w:rsidR="006E4101" w:rsidTr="00695890">
        <w:trPr>
          <w:trHeight w:val="395"/>
        </w:trPr>
        <w:tc>
          <w:tcPr>
            <w:tcW w:w="5000" w:type="pct"/>
            <w:shd w:val="clear" w:color="auto" w:fill="D9D9D9" w:themeFill="background1" w:themeFillShade="D9"/>
          </w:tcPr>
          <w:p w:rsidR="006E4101" w:rsidRDefault="006E4101" w:rsidP="00695890">
            <w:r>
              <w:t>Public input</w:t>
            </w:r>
          </w:p>
        </w:tc>
      </w:tr>
      <w:tr w:rsidR="006E4101" w:rsidTr="00695890">
        <w:trPr>
          <w:trHeight w:val="585"/>
        </w:trPr>
        <w:tc>
          <w:tcPr>
            <w:tcW w:w="5000" w:type="pct"/>
          </w:tcPr>
          <w:p w:rsidR="00D77BF2" w:rsidRDefault="00D77BF2" w:rsidP="00D77BF2">
            <w:pPr>
              <w:rPr>
                <w:bCs/>
              </w:rPr>
            </w:pPr>
            <w:r>
              <w:rPr>
                <w:bCs/>
              </w:rPr>
              <w:t>- Closure during the early spawning season.</w:t>
            </w:r>
          </w:p>
          <w:p w:rsidR="006E4101" w:rsidRDefault="006E4101" w:rsidP="00695890"/>
        </w:tc>
      </w:tr>
    </w:tbl>
    <w:p w:rsidR="008F10BF" w:rsidRDefault="008F10BF" w:rsidP="00F01B0F">
      <w:pPr>
        <w:rPr>
          <w:bCs/>
        </w:rPr>
      </w:pPr>
    </w:p>
    <w:p w:rsidR="008F10BF" w:rsidRDefault="008F10BF" w:rsidP="00F01B0F">
      <w:pPr>
        <w:rPr>
          <w:bCs/>
        </w:rPr>
      </w:pPr>
    </w:p>
    <w:tbl>
      <w:tblPr>
        <w:tblStyle w:val="TableGrid"/>
        <w:tblW w:w="5000" w:type="pct"/>
        <w:tblBorders>
          <w:insideH w:val="none" w:sz="0" w:space="0" w:color="auto"/>
          <w:insideV w:val="none" w:sz="0" w:space="0" w:color="auto"/>
        </w:tblBorders>
        <w:tblLook w:val="04A0"/>
      </w:tblPr>
      <w:tblGrid>
        <w:gridCol w:w="10296"/>
      </w:tblGrid>
      <w:tr w:rsidR="00DB68B5" w:rsidTr="00695890">
        <w:trPr>
          <w:trHeight w:val="395"/>
        </w:trPr>
        <w:tc>
          <w:tcPr>
            <w:tcW w:w="5000" w:type="pct"/>
            <w:shd w:val="clear" w:color="auto" w:fill="D9D9D9" w:themeFill="background1" w:themeFillShade="D9"/>
          </w:tcPr>
          <w:p w:rsidR="00DB68B5" w:rsidRDefault="00DB68B5" w:rsidP="00695890">
            <w:r>
              <w:t>Online form comments</w:t>
            </w:r>
          </w:p>
        </w:tc>
      </w:tr>
      <w:tr w:rsidR="00DB68B5" w:rsidTr="00695890">
        <w:trPr>
          <w:trHeight w:val="585"/>
        </w:trPr>
        <w:tc>
          <w:tcPr>
            <w:tcW w:w="5000" w:type="pct"/>
          </w:tcPr>
          <w:p w:rsidR="00DB68B5" w:rsidRDefault="00DB68B5" w:rsidP="00695890">
            <w:pPr>
              <w:rPr>
                <w:bCs/>
              </w:rPr>
            </w:pPr>
            <w:r>
              <w:rPr>
                <w:bCs/>
              </w:rPr>
              <w:t>- No spawning closure (Alternative 4)</w:t>
            </w:r>
          </w:p>
          <w:p w:rsidR="00DB68B5" w:rsidRDefault="00DB68B5" w:rsidP="00695890">
            <w:pPr>
              <w:rPr>
                <w:bCs/>
              </w:rPr>
            </w:pPr>
            <w:r>
              <w:rPr>
                <w:bCs/>
              </w:rPr>
              <w:t xml:space="preserve">- Do not change the fishing year. </w:t>
            </w:r>
          </w:p>
          <w:p w:rsidR="00DB68B5" w:rsidRDefault="00DB68B5" w:rsidP="00695890"/>
        </w:tc>
      </w:tr>
    </w:tbl>
    <w:p w:rsidR="00DB68B5" w:rsidRDefault="00DB68B5" w:rsidP="00DB68B5"/>
    <w:p w:rsidR="00DB68B5" w:rsidRDefault="00DB68B5" w:rsidP="00DB68B5"/>
    <w:p w:rsidR="008F10BF" w:rsidRPr="0041651C" w:rsidRDefault="008F10BF" w:rsidP="008F10BF">
      <w:pPr>
        <w:pStyle w:val="Heading2"/>
        <w:rPr>
          <w:b/>
        </w:rPr>
      </w:pPr>
      <w:r>
        <w:rPr>
          <w:b/>
        </w:rPr>
        <w:t>COMMITTEE ACTIONS</w:t>
      </w:r>
    </w:p>
    <w:p w:rsidR="00FD3A1D" w:rsidRDefault="00D77BF2" w:rsidP="00FD3A1D">
      <w:pPr>
        <w:rPr>
          <w:sz w:val="28"/>
          <w:szCs w:val="28"/>
        </w:rPr>
      </w:pPr>
      <w:r>
        <w:rPr>
          <w:sz w:val="28"/>
          <w:szCs w:val="28"/>
        </w:rPr>
        <w:t>1</w:t>
      </w:r>
      <w:r w:rsidR="00FD3A1D" w:rsidRPr="0041651C">
        <w:rPr>
          <w:sz w:val="28"/>
          <w:szCs w:val="28"/>
        </w:rPr>
        <w:t xml:space="preserve">) </w:t>
      </w:r>
      <w:r w:rsidR="00FD3A1D">
        <w:rPr>
          <w:sz w:val="28"/>
          <w:szCs w:val="28"/>
        </w:rPr>
        <w:t xml:space="preserve"> Do you want to add </w:t>
      </w:r>
      <w:r w:rsidR="00FD3A1D" w:rsidRPr="00FD3A1D">
        <w:rPr>
          <w:b/>
          <w:sz w:val="28"/>
          <w:szCs w:val="28"/>
        </w:rPr>
        <w:t>Action 2</w:t>
      </w:r>
      <w:r>
        <w:rPr>
          <w:sz w:val="28"/>
          <w:szCs w:val="28"/>
        </w:rPr>
        <w:t>?</w:t>
      </w:r>
    </w:p>
    <w:p w:rsidR="00D77BF2" w:rsidRDefault="00D77BF2" w:rsidP="00FD3A1D">
      <w:pPr>
        <w:rPr>
          <w:sz w:val="28"/>
          <w:szCs w:val="28"/>
        </w:rPr>
      </w:pPr>
    </w:p>
    <w:p w:rsidR="00FD3A1D" w:rsidRDefault="00D77BF2" w:rsidP="00D77BF2">
      <w:pPr>
        <w:rPr>
          <w:sz w:val="28"/>
          <w:szCs w:val="28"/>
        </w:rPr>
      </w:pPr>
      <w:r>
        <w:rPr>
          <w:sz w:val="28"/>
          <w:szCs w:val="28"/>
        </w:rPr>
        <w:t>2</w:t>
      </w:r>
      <w:r w:rsidR="00FD3A1D">
        <w:rPr>
          <w:sz w:val="28"/>
          <w:szCs w:val="28"/>
        </w:rPr>
        <w:t xml:space="preserve">) Do you want </w:t>
      </w:r>
      <w:r>
        <w:rPr>
          <w:sz w:val="28"/>
          <w:szCs w:val="28"/>
        </w:rPr>
        <w:t xml:space="preserve">the change in the fishing year for recreational, commercial, or both? </w:t>
      </w:r>
    </w:p>
    <w:p w:rsidR="00D77BF2" w:rsidRDefault="00D77BF2" w:rsidP="00D77BF2">
      <w:pPr>
        <w:rPr>
          <w:sz w:val="28"/>
          <w:szCs w:val="28"/>
        </w:rPr>
      </w:pPr>
    </w:p>
    <w:p w:rsidR="00D77BF2" w:rsidRDefault="00D77BF2" w:rsidP="00D77BF2">
      <w:pPr>
        <w:rPr>
          <w:sz w:val="28"/>
          <w:szCs w:val="28"/>
        </w:rPr>
      </w:pPr>
      <w:r>
        <w:rPr>
          <w:sz w:val="28"/>
          <w:szCs w:val="28"/>
        </w:rPr>
        <w:t xml:space="preserve">3) Do you want to add the draft alternatives and options? </w:t>
      </w:r>
      <w:r>
        <w:rPr>
          <w:sz w:val="28"/>
          <w:szCs w:val="28"/>
        </w:rPr>
        <w:tab/>
      </w:r>
    </w:p>
    <w:p w:rsidR="00D77BF2" w:rsidRDefault="00D77BF2" w:rsidP="00D77BF2">
      <w:pPr>
        <w:ind w:firstLine="720"/>
        <w:rPr>
          <w:sz w:val="28"/>
          <w:szCs w:val="28"/>
        </w:rPr>
      </w:pPr>
      <w:r>
        <w:rPr>
          <w:sz w:val="28"/>
          <w:szCs w:val="28"/>
        </w:rPr>
        <w:t>- Revise, remove or add alternatives/options</w:t>
      </w:r>
    </w:p>
    <w:p w:rsidR="00FD3A1D" w:rsidRDefault="00FD3A1D" w:rsidP="00FD3A1D">
      <w:pPr>
        <w:rPr>
          <w:sz w:val="28"/>
          <w:szCs w:val="28"/>
        </w:rPr>
      </w:pPr>
    </w:p>
    <w:p w:rsidR="007C34E3" w:rsidRPr="00FD3A1D" w:rsidRDefault="00D77BF2">
      <w:pPr>
        <w:rPr>
          <w:sz w:val="28"/>
          <w:szCs w:val="28"/>
        </w:rPr>
      </w:pPr>
      <w:r>
        <w:rPr>
          <w:sz w:val="28"/>
          <w:szCs w:val="28"/>
        </w:rPr>
        <w:t>4</w:t>
      </w:r>
      <w:r w:rsidR="00FD3A1D">
        <w:rPr>
          <w:sz w:val="28"/>
          <w:szCs w:val="28"/>
        </w:rPr>
        <w:t xml:space="preserve">) Do you want to select Preferred Alternatives/Options? </w:t>
      </w:r>
    </w:p>
    <w:p w:rsidR="006E4101" w:rsidRDefault="006E4101">
      <w:pPr>
        <w:rPr>
          <w:rFonts w:eastAsia="Times New Roman"/>
          <w:b/>
          <w:bCs/>
          <w:i/>
          <w:kern w:val="32"/>
          <w:sz w:val="28"/>
          <w:szCs w:val="32"/>
          <w:u w:val="single"/>
          <w:lang/>
        </w:rPr>
      </w:pPr>
      <w:bookmarkStart w:id="14" w:name="_Toc451721867"/>
      <w:bookmarkEnd w:id="12"/>
      <w:r>
        <w:rPr>
          <w:i/>
        </w:rPr>
        <w:br w:type="page"/>
      </w:r>
    </w:p>
    <w:p w:rsidR="006E4101" w:rsidRDefault="006E4101" w:rsidP="006E4101">
      <w:pPr>
        <w:pStyle w:val="Heading1"/>
      </w:pPr>
      <w:r>
        <w:rPr>
          <w:i/>
        </w:rPr>
        <w:lastRenderedPageBreak/>
        <w:t xml:space="preserve">Draft </w:t>
      </w:r>
      <w:r>
        <w:t>Action 3: Modify the recreational accountability measures for Atlantic cobia</w:t>
      </w:r>
      <w:bookmarkEnd w:id="14"/>
    </w:p>
    <w:p w:rsidR="006E4101" w:rsidRDefault="006E4101" w:rsidP="006E4101">
      <w:pPr>
        <w:rPr>
          <w:b/>
        </w:rPr>
      </w:pPr>
    </w:p>
    <w:p w:rsidR="006E4101" w:rsidRDefault="006E4101" w:rsidP="006E4101">
      <w:r>
        <w:rPr>
          <w:b/>
        </w:rPr>
        <w:t xml:space="preserve">Alternative 1 (No Action): </w:t>
      </w:r>
      <w:r>
        <w:t>Do not revise the recreational accountability measures (AMs) for Atlantic cobia as established in Amendment 18 (GMFMC/SAFMC 2011).</w:t>
      </w:r>
    </w:p>
    <w:p w:rsidR="006E4101" w:rsidRDefault="006E4101" w:rsidP="006E4101"/>
    <w:p w:rsidR="006E4101" w:rsidRDefault="006E4101" w:rsidP="006E4101">
      <w:r w:rsidRPr="00CC036D">
        <w:rPr>
          <w:highlight w:val="yellow"/>
        </w:rPr>
        <w:t>NOTE:</w:t>
      </w:r>
      <w:r>
        <w:t xml:space="preserve"> Alternatives 2-4 were adapted from SG34/DW8/GC9 (Generic AM amendment, SAFMC 2015). The highlighted alternatives and sub-alternatives would align with the preferred alternatives from the Generic AM amendment. </w:t>
      </w:r>
    </w:p>
    <w:p w:rsidR="006E4101" w:rsidRDefault="006E4101" w:rsidP="006E4101"/>
    <w:p w:rsidR="006E4101" w:rsidRDefault="006E4101" w:rsidP="006E4101">
      <w:pPr>
        <w:tabs>
          <w:tab w:val="left" w:pos="630"/>
        </w:tabs>
      </w:pPr>
      <w:proofErr w:type="gramStart"/>
      <w:r>
        <w:rPr>
          <w:b/>
        </w:rPr>
        <w:t>Alternative 2.</w:t>
      </w:r>
      <w:proofErr w:type="gramEnd"/>
      <w:r>
        <w:t xml:space="preserve">  If recreational landings, as estimated by the Science and Research Director, exceed the recreational ACL, then during the following fishing year, recreational landings will be monitored for </w:t>
      </w:r>
      <w:proofErr w:type="gramStart"/>
      <w:r>
        <w:t>a persistence</w:t>
      </w:r>
      <w:proofErr w:type="gramEnd"/>
      <w:r>
        <w:t xml:space="preserve"> in increased landings.  If necessary, the Regional Administrator shall publish a notice </w:t>
      </w:r>
      <w:r>
        <w:rPr>
          <w:u w:val="single"/>
        </w:rPr>
        <w:t>to reduce the length of the following fishing season</w:t>
      </w:r>
      <w:r>
        <w:t xml:space="preserve"> to ensure that recreational landings meet the recreational ACT but do not exceed the recreational ACL, based on the recreational landings in the previous year. The length of the recreational season will not be reduced if the Regional Administrator determines, using the best scientific information available, that a reduction is unnecessary. The ACT for 2016 and subsequent fishing years is 500,000 lbs, as established in CMP Amendment 20B.  </w:t>
      </w:r>
    </w:p>
    <w:p w:rsidR="006E4101" w:rsidRDefault="006E4101" w:rsidP="006E4101">
      <w:pPr>
        <w:ind w:left="720"/>
      </w:pPr>
      <w:proofErr w:type="gramStart"/>
      <w:r>
        <w:rPr>
          <w:b/>
        </w:rPr>
        <w:t>Sub-alternative 2a.</w:t>
      </w:r>
      <w:proofErr w:type="gramEnd"/>
      <w:r>
        <w:rPr>
          <w:b/>
        </w:rPr>
        <w:t xml:space="preserve"> </w:t>
      </w:r>
      <w:r>
        <w:t xml:space="preserve"> The Regional Administrator will reduce the length of the following fishing year </w:t>
      </w:r>
      <w:r>
        <w:rPr>
          <w:u w:val="single"/>
        </w:rPr>
        <w:t>only if the species is overfished</w:t>
      </w:r>
      <w:r>
        <w:t xml:space="preserve">.  </w:t>
      </w:r>
    </w:p>
    <w:p w:rsidR="006E4101" w:rsidRDefault="006E4101" w:rsidP="006E4101">
      <w:pPr>
        <w:ind w:left="720"/>
      </w:pPr>
      <w:proofErr w:type="gramStart"/>
      <w:r>
        <w:rPr>
          <w:b/>
        </w:rPr>
        <w:t>Sub-alternative 2b.</w:t>
      </w:r>
      <w:proofErr w:type="gramEnd"/>
      <w:r>
        <w:rPr>
          <w:b/>
        </w:rPr>
        <w:t xml:space="preserve"> </w:t>
      </w:r>
      <w:r>
        <w:t xml:space="preserve"> The Regional Administrator will reduce the length of the following fishing year </w:t>
      </w:r>
      <w:r>
        <w:rPr>
          <w:u w:val="single"/>
        </w:rPr>
        <w:t>only if the total ACL (commercial ACL and recreational ACL) is exceeded</w:t>
      </w:r>
      <w:r>
        <w:t xml:space="preserve">.  </w:t>
      </w:r>
    </w:p>
    <w:p w:rsidR="006E4101" w:rsidRDefault="006E4101" w:rsidP="006E4101">
      <w:pPr>
        <w:ind w:left="720"/>
      </w:pPr>
      <w:proofErr w:type="gramStart"/>
      <w:r>
        <w:rPr>
          <w:b/>
        </w:rPr>
        <w:t>Sub-alternative 2c.</w:t>
      </w:r>
      <w:proofErr w:type="gramEnd"/>
      <w:r>
        <w:t xml:space="preserve">  The Regional Administrator will reduce the length of the following fishing year </w:t>
      </w:r>
      <w:r>
        <w:rPr>
          <w:u w:val="single"/>
        </w:rPr>
        <w:t>only if the species is overfished</w:t>
      </w:r>
      <w:r>
        <w:rPr>
          <w:b/>
          <w:u w:val="single"/>
        </w:rPr>
        <w:t xml:space="preserve"> and</w:t>
      </w:r>
      <w:r>
        <w:rPr>
          <w:u w:val="single"/>
        </w:rPr>
        <w:t xml:space="preserve"> the total ACL (commercial ACL and recreational ACL) is exceeded</w:t>
      </w:r>
      <w:r>
        <w:t xml:space="preserve">.  </w:t>
      </w:r>
    </w:p>
    <w:p w:rsidR="006E4101" w:rsidRDefault="006E4101" w:rsidP="006E4101"/>
    <w:p w:rsidR="006E4101" w:rsidRDefault="006E4101" w:rsidP="006E4101">
      <w:pPr>
        <w:tabs>
          <w:tab w:val="left" w:pos="630"/>
        </w:tabs>
      </w:pPr>
      <w:proofErr w:type="gramStart"/>
      <w:r>
        <w:rPr>
          <w:b/>
          <w:highlight w:val="yellow"/>
        </w:rPr>
        <w:t>Alternative 3</w:t>
      </w:r>
      <w:r>
        <w:rPr>
          <w:b/>
        </w:rPr>
        <w:t>.</w:t>
      </w:r>
      <w:proofErr w:type="gramEnd"/>
      <w:r>
        <w:t xml:space="preserve">  If recreational landings, as estimated by the Science and Research Director, exceed the recreational ACL, the Regional Administrator shall publish a notice to </w:t>
      </w:r>
      <w:r>
        <w:rPr>
          <w:u w:val="single"/>
        </w:rPr>
        <w:t>reduce the recreational ACL</w:t>
      </w:r>
      <w:r>
        <w:t xml:space="preserve"> in the following fishing year by the amount of the recreational overage. The length of the recreational season will not be reduced if the Regional Administrator determines, using the best scientific information available, that a reduction is unnecessary. The ACT would also be adjusted according to the following formula: recreational sector ACT equals sector </w:t>
      </w:r>
      <w:proofErr w:type="gramStart"/>
      <w:r>
        <w:t>ACL[</w:t>
      </w:r>
      <w:proofErr w:type="gramEnd"/>
      <w:r>
        <w:t>(1-PSE) or 0.5, whichever is greater].</w:t>
      </w:r>
    </w:p>
    <w:p w:rsidR="006E4101" w:rsidRDefault="006E4101" w:rsidP="006E4101">
      <w:pPr>
        <w:tabs>
          <w:tab w:val="left" w:pos="630"/>
        </w:tabs>
      </w:pPr>
    </w:p>
    <w:p w:rsidR="006E4101" w:rsidRDefault="006E4101" w:rsidP="006E4101">
      <w:pPr>
        <w:ind w:left="720"/>
      </w:pPr>
      <w:proofErr w:type="gramStart"/>
      <w:r>
        <w:rPr>
          <w:b/>
        </w:rPr>
        <w:t>Sub-alternative 3a.</w:t>
      </w:r>
      <w:proofErr w:type="gramEnd"/>
      <w:r>
        <w:rPr>
          <w:b/>
        </w:rPr>
        <w:t xml:space="preserve"> </w:t>
      </w:r>
      <w:r>
        <w:t xml:space="preserve"> The Regional Administrator will reduce the recreational ACL and ACT of the following fishing year </w:t>
      </w:r>
      <w:r>
        <w:rPr>
          <w:u w:val="single"/>
        </w:rPr>
        <w:t>only if the species is overfished</w:t>
      </w:r>
      <w:r>
        <w:t xml:space="preserve">.  </w:t>
      </w:r>
    </w:p>
    <w:p w:rsidR="006E4101" w:rsidRDefault="006E4101" w:rsidP="006E4101">
      <w:pPr>
        <w:ind w:left="720"/>
      </w:pPr>
      <w:proofErr w:type="gramStart"/>
      <w:r>
        <w:rPr>
          <w:b/>
        </w:rPr>
        <w:t>Sub-alternative 3b.</w:t>
      </w:r>
      <w:proofErr w:type="gramEnd"/>
      <w:r>
        <w:rPr>
          <w:b/>
        </w:rPr>
        <w:t xml:space="preserve"> </w:t>
      </w:r>
      <w:r>
        <w:t xml:space="preserve"> The Regional Administrator will reduce the recreational ACL and ACT of the following fishing year </w:t>
      </w:r>
      <w:r>
        <w:rPr>
          <w:u w:val="single"/>
        </w:rPr>
        <w:t>only if the total ACL (commercial ACL and recreational ACL) is exceeded</w:t>
      </w:r>
      <w:r>
        <w:t xml:space="preserve">.  </w:t>
      </w:r>
    </w:p>
    <w:p w:rsidR="006E4101" w:rsidRDefault="00A7522D" w:rsidP="006E4101">
      <w:pPr>
        <w:ind w:left="720"/>
      </w:pPr>
      <w:proofErr w:type="gramStart"/>
      <w:r>
        <w:rPr>
          <w:b/>
        </w:rPr>
        <w:t>Sub-alternative 3</w:t>
      </w:r>
      <w:r w:rsidR="006E4101">
        <w:rPr>
          <w:b/>
        </w:rPr>
        <w:t>c.</w:t>
      </w:r>
      <w:proofErr w:type="gramEnd"/>
      <w:r w:rsidR="006E4101">
        <w:t xml:space="preserve">  The Regional Administrator will reduce the recreational ACL and ACT of the following fishing year </w:t>
      </w:r>
      <w:r w:rsidR="006E4101">
        <w:rPr>
          <w:u w:val="single"/>
        </w:rPr>
        <w:t>only if the species is overfished</w:t>
      </w:r>
      <w:r w:rsidR="006E4101">
        <w:rPr>
          <w:b/>
          <w:u w:val="single"/>
        </w:rPr>
        <w:t xml:space="preserve"> and</w:t>
      </w:r>
      <w:r w:rsidR="006E4101">
        <w:rPr>
          <w:u w:val="single"/>
        </w:rPr>
        <w:t xml:space="preserve"> the total ACL (commercial ACL and recreational ACL) is exceeded</w:t>
      </w:r>
      <w:r w:rsidR="006E4101">
        <w:t xml:space="preserve">.  </w:t>
      </w:r>
    </w:p>
    <w:p w:rsidR="006E4101" w:rsidRDefault="006E4101" w:rsidP="006E4101"/>
    <w:p w:rsidR="006E4101" w:rsidRDefault="006E4101" w:rsidP="006E4101">
      <w:pPr>
        <w:ind w:right="-20"/>
      </w:pPr>
      <w:proofErr w:type="gramStart"/>
      <w:r>
        <w:rPr>
          <w:b/>
          <w:highlight w:val="yellow"/>
        </w:rPr>
        <w:t>Alternative 4</w:t>
      </w:r>
      <w:r>
        <w:rPr>
          <w:b/>
        </w:rPr>
        <w:t>.</w:t>
      </w:r>
      <w:proofErr w:type="gramEnd"/>
      <w:r>
        <w:rPr>
          <w:b/>
        </w:rPr>
        <w:t xml:space="preserve">  </w:t>
      </w:r>
      <w:r>
        <w:t xml:space="preserve">If recreational landings reach or are projected to reach the recreational ACL, the Regional </w:t>
      </w:r>
      <w:proofErr w:type="spellStart"/>
      <w:r>
        <w:t>Administator</w:t>
      </w:r>
      <w:proofErr w:type="spellEnd"/>
      <w:r>
        <w:t xml:space="preserve"> shall publish a notice </w:t>
      </w:r>
      <w:r>
        <w:rPr>
          <w:u w:val="single"/>
        </w:rPr>
        <w:t>to close the recreational sector for the remainder of the fishing year</w:t>
      </w:r>
      <w:r>
        <w:t>, unless, using the best scientific information available, the Regional Administrator determines that a closure is unnecessary.</w:t>
      </w:r>
    </w:p>
    <w:p w:rsidR="006E4101" w:rsidRDefault="006E4101" w:rsidP="006E4101">
      <w:pPr>
        <w:ind w:left="720" w:right="-20"/>
      </w:pPr>
      <w:proofErr w:type="gramStart"/>
      <w:r>
        <w:rPr>
          <w:b/>
        </w:rPr>
        <w:t>Sub-alternative 4a.</w:t>
      </w:r>
      <w:proofErr w:type="gramEnd"/>
      <w:r>
        <w:rPr>
          <w:b/>
        </w:rPr>
        <w:t xml:space="preserve"> </w:t>
      </w:r>
      <w:proofErr w:type="gramStart"/>
      <w:r>
        <w:t xml:space="preserve">If the species </w:t>
      </w:r>
      <w:r>
        <w:rPr>
          <w:u w:val="single"/>
        </w:rPr>
        <w:t>is overfished</w:t>
      </w:r>
      <w:r>
        <w:t>.</w:t>
      </w:r>
      <w:proofErr w:type="gramEnd"/>
    </w:p>
    <w:p w:rsidR="006E4101" w:rsidRDefault="006E4101" w:rsidP="006E4101">
      <w:pPr>
        <w:ind w:left="720"/>
      </w:pPr>
      <w:proofErr w:type="gramStart"/>
      <w:r>
        <w:rPr>
          <w:b/>
          <w:highlight w:val="yellow"/>
        </w:rPr>
        <w:t>Sub-alternative 4b</w:t>
      </w:r>
      <w:r>
        <w:rPr>
          <w:b/>
        </w:rPr>
        <w:t>.</w:t>
      </w:r>
      <w:proofErr w:type="gramEnd"/>
      <w:r>
        <w:rPr>
          <w:b/>
        </w:rPr>
        <w:t xml:space="preserve"> </w:t>
      </w:r>
      <w:proofErr w:type="gramStart"/>
      <w:r>
        <w:t>Regardless of the overfished status of the species.</w:t>
      </w:r>
      <w:proofErr w:type="gramEnd"/>
    </w:p>
    <w:p w:rsidR="006E4101" w:rsidRDefault="006E4101" w:rsidP="006E4101">
      <w:pPr>
        <w:spacing w:after="160" w:line="259" w:lineRule="auto"/>
      </w:pPr>
    </w:p>
    <w:p w:rsidR="006E4101" w:rsidRPr="00A7522D" w:rsidRDefault="006E4101" w:rsidP="006E4101">
      <w:pPr>
        <w:ind w:right="-20"/>
        <w:rPr>
          <w:strike/>
        </w:rPr>
      </w:pPr>
      <w:proofErr w:type="gramStart"/>
      <w:r w:rsidRPr="00A7522D">
        <w:rPr>
          <w:b/>
          <w:strike/>
        </w:rPr>
        <w:lastRenderedPageBreak/>
        <w:t>Potential additional Alternative 5.</w:t>
      </w:r>
      <w:proofErr w:type="gramEnd"/>
      <w:r w:rsidRPr="00A7522D">
        <w:rPr>
          <w:b/>
          <w:strike/>
        </w:rPr>
        <w:t xml:space="preserve">  </w:t>
      </w:r>
      <w:r w:rsidRPr="00A7522D">
        <w:rPr>
          <w:strike/>
        </w:rPr>
        <w:t>If recreational landings reach or are projected to reach the recreational annual catch target (ACT), the Regional Administ</w:t>
      </w:r>
      <w:r w:rsidR="00017400" w:rsidRPr="00A7522D">
        <w:rPr>
          <w:strike/>
        </w:rPr>
        <w:t>r</w:t>
      </w:r>
      <w:r w:rsidRPr="00A7522D">
        <w:rPr>
          <w:strike/>
        </w:rPr>
        <w:t xml:space="preserve">ator shall publish a notice </w:t>
      </w:r>
      <w:r w:rsidRPr="00A7522D">
        <w:rPr>
          <w:strike/>
          <w:u w:val="single"/>
        </w:rPr>
        <w:t>to close the recreational sector for the remainder of the fishing year</w:t>
      </w:r>
      <w:r w:rsidRPr="00A7522D">
        <w:rPr>
          <w:strike/>
        </w:rPr>
        <w:t>, unless, using the best scientific information available, the Regional Administrator determines that a closure is unnecessary.</w:t>
      </w:r>
    </w:p>
    <w:p w:rsidR="006E4101" w:rsidRPr="00A7522D" w:rsidRDefault="006E4101" w:rsidP="006E4101">
      <w:pPr>
        <w:ind w:left="720" w:right="-20"/>
        <w:rPr>
          <w:strike/>
        </w:rPr>
      </w:pPr>
      <w:proofErr w:type="gramStart"/>
      <w:r w:rsidRPr="00A7522D">
        <w:rPr>
          <w:b/>
          <w:strike/>
        </w:rPr>
        <w:t>Sub-alternative 5a.</w:t>
      </w:r>
      <w:proofErr w:type="gramEnd"/>
      <w:r w:rsidRPr="00A7522D">
        <w:rPr>
          <w:b/>
          <w:strike/>
        </w:rPr>
        <w:t xml:space="preserve"> </w:t>
      </w:r>
      <w:proofErr w:type="gramStart"/>
      <w:r w:rsidRPr="00A7522D">
        <w:rPr>
          <w:strike/>
        </w:rPr>
        <w:t xml:space="preserve">If the species </w:t>
      </w:r>
      <w:r w:rsidRPr="00A7522D">
        <w:rPr>
          <w:strike/>
          <w:u w:val="single"/>
        </w:rPr>
        <w:t>is overfished</w:t>
      </w:r>
      <w:r w:rsidRPr="00A7522D">
        <w:rPr>
          <w:strike/>
        </w:rPr>
        <w:t>.</w:t>
      </w:r>
      <w:proofErr w:type="gramEnd"/>
    </w:p>
    <w:p w:rsidR="006E4101" w:rsidRPr="00A7522D" w:rsidRDefault="006E4101" w:rsidP="006E4101">
      <w:pPr>
        <w:ind w:left="720"/>
        <w:rPr>
          <w:strike/>
        </w:rPr>
      </w:pPr>
      <w:proofErr w:type="gramStart"/>
      <w:r w:rsidRPr="00A7522D">
        <w:rPr>
          <w:b/>
          <w:strike/>
        </w:rPr>
        <w:t>Sub-alternative 5b.</w:t>
      </w:r>
      <w:proofErr w:type="gramEnd"/>
      <w:r w:rsidRPr="00A7522D">
        <w:rPr>
          <w:b/>
          <w:strike/>
        </w:rPr>
        <w:t xml:space="preserve"> </w:t>
      </w:r>
      <w:proofErr w:type="gramStart"/>
      <w:r w:rsidRPr="00A7522D">
        <w:rPr>
          <w:strike/>
        </w:rPr>
        <w:t>Regardless of the overfished status of the species.</w:t>
      </w:r>
      <w:proofErr w:type="gramEnd"/>
    </w:p>
    <w:p w:rsidR="006E4101" w:rsidRDefault="006E4101" w:rsidP="006E4101"/>
    <w:p w:rsidR="006E4101" w:rsidRPr="009659E7" w:rsidRDefault="006E4101" w:rsidP="006E4101"/>
    <w:p w:rsidR="006E4101" w:rsidRPr="00E41C47" w:rsidRDefault="006E4101" w:rsidP="006E4101">
      <w:pPr>
        <w:rPr>
          <w:rFonts w:ascii="Arial" w:hAnsi="Arial" w:cs="Arial"/>
          <w:b/>
          <w:u w:val="single"/>
        </w:rPr>
      </w:pPr>
      <w:r w:rsidRPr="00E41C47">
        <w:rPr>
          <w:rFonts w:ascii="Arial" w:hAnsi="Arial" w:cs="Arial"/>
          <w:b/>
          <w:u w:val="single"/>
        </w:rPr>
        <w:t>Discussion:</w:t>
      </w:r>
    </w:p>
    <w:p w:rsidR="006E4101" w:rsidRDefault="006E4101" w:rsidP="006E4101">
      <w:pPr>
        <w:pStyle w:val="NoSpacing"/>
        <w:rPr>
          <w:sz w:val="24"/>
          <w:szCs w:val="24"/>
        </w:rPr>
      </w:pPr>
      <w:r>
        <w:rPr>
          <w:sz w:val="24"/>
          <w:szCs w:val="24"/>
        </w:rPr>
        <w:t>The</w:t>
      </w:r>
      <w:r w:rsidRPr="003E22BC">
        <w:rPr>
          <w:sz w:val="24"/>
          <w:szCs w:val="24"/>
        </w:rPr>
        <w:t xml:space="preserve"> </w:t>
      </w:r>
      <w:r>
        <w:rPr>
          <w:sz w:val="24"/>
          <w:szCs w:val="24"/>
        </w:rPr>
        <w:t>recreational AMs</w:t>
      </w:r>
      <w:r w:rsidRPr="003E22BC">
        <w:rPr>
          <w:sz w:val="24"/>
          <w:szCs w:val="24"/>
        </w:rPr>
        <w:t xml:space="preserve"> for the Atlantic migratory group of cobia were established in Amendment 18 </w:t>
      </w:r>
      <w:r>
        <w:rPr>
          <w:sz w:val="24"/>
          <w:szCs w:val="24"/>
        </w:rPr>
        <w:t xml:space="preserve">(GMFMC/SAFMC 2011) as follows: </w:t>
      </w:r>
    </w:p>
    <w:p w:rsidR="006E4101" w:rsidRDefault="006E4101" w:rsidP="006E4101"/>
    <w:p w:rsidR="006E4101" w:rsidRDefault="006E4101" w:rsidP="006E4101">
      <w:pPr>
        <w:ind w:left="360"/>
      </w:pPr>
      <w:r>
        <w:t xml:space="preserve">If the recreational sector quota (total ACL x recreational allocation) is exceeded, the Regional Administrator shall publish a notice to </w:t>
      </w:r>
      <w:r>
        <w:rPr>
          <w:highlight w:val="white"/>
        </w:rPr>
        <w:t>reduce the length of the following fishing year by the amount necessary to ensure landings do not exceed the recreational sector ACT for the following fishing year</w:t>
      </w:r>
      <w:r>
        <w:t>, but only if the Total ACL is exceeded.</w:t>
      </w:r>
      <w:r>
        <w:rPr>
          <w:highlight w:val="white"/>
        </w:rPr>
        <w:t xml:space="preserve">  The season length will allow recreational landings to achieve the applicable recreational ACT but not exceed the applicable recreational ACL. </w:t>
      </w:r>
    </w:p>
    <w:p w:rsidR="006E4101" w:rsidRDefault="006E4101" w:rsidP="006E4101">
      <w:pPr>
        <w:ind w:left="360"/>
      </w:pPr>
    </w:p>
    <w:p w:rsidR="006E4101" w:rsidRDefault="006E4101" w:rsidP="006E4101">
      <w:pPr>
        <w:ind w:left="360"/>
      </w:pPr>
      <w:r>
        <w:rPr>
          <w:highlight w:val="white"/>
        </w:rPr>
        <w:t xml:space="preserve">To calculate the recreational season length if this </w:t>
      </w:r>
      <w:proofErr w:type="gramStart"/>
      <w:r>
        <w:rPr>
          <w:highlight w:val="white"/>
        </w:rPr>
        <w:t>AM</w:t>
      </w:r>
      <w:proofErr w:type="gramEnd"/>
      <w:r>
        <w:rPr>
          <w:highlight w:val="white"/>
        </w:rPr>
        <w:t xml:space="preserve"> is triggered, the RA will use the following direction from Amendment 18:</w:t>
      </w:r>
    </w:p>
    <w:p w:rsidR="006E4101" w:rsidRDefault="006E4101" w:rsidP="006E4101">
      <w:pPr>
        <w:ind w:left="360"/>
      </w:pPr>
    </w:p>
    <w:p w:rsidR="006E4101" w:rsidRDefault="006E4101" w:rsidP="006E4101">
      <w:pPr>
        <w:ind w:left="360" w:right="360"/>
      </w:pPr>
      <w:r>
        <w:rPr>
          <w:highlight w:val="white"/>
        </w:rPr>
        <w:t>Compare the recreational ACL with recreational landings over a range of years.  For 2011, use only 2011 landings.  For 2012, use the average landings of 2011 and 2012.  For 2013 and beyond, use the most recent three-year (fishing years) running average.  If in any year the ACL is changed, the sequence of future ACLs will begin again starting with a single year of landings compared to the ACL for that year, followed by two-year average landings compared to the ACL in the next year, followed by a three-year average of landings ACL for the third year and thereafter.</w:t>
      </w:r>
    </w:p>
    <w:p w:rsidR="006E4101" w:rsidRDefault="006E4101" w:rsidP="006E4101">
      <w:pPr>
        <w:widowControl w:val="0"/>
        <w:ind w:left="360"/>
      </w:pPr>
    </w:p>
    <w:p w:rsidR="006E4101" w:rsidRDefault="006E4101" w:rsidP="006E4101">
      <w:pPr>
        <w:ind w:left="360"/>
      </w:pPr>
      <w:r>
        <w:t xml:space="preserve">If the recreational ACL is exceeded, the Assistant Administrator for Fisheries shall file a notification with the Office of the Federal Register to reduce the recreational ACL in the following year by the amount of the overage, if the Total ACL is exceeded and the stock is overfished.  The ACT would also be adjusted according to the following formula: recreational sector ACT equals sector </w:t>
      </w:r>
      <w:proofErr w:type="gramStart"/>
      <w:r>
        <w:t>ACL[</w:t>
      </w:r>
      <w:proofErr w:type="gramEnd"/>
      <w:r>
        <w:t xml:space="preserve">(1-PSE) or 0.5, whichever is greater]. </w:t>
      </w:r>
    </w:p>
    <w:p w:rsidR="001766D5" w:rsidRDefault="001766D5" w:rsidP="006E4101">
      <w:pPr>
        <w:ind w:left="360"/>
      </w:pPr>
    </w:p>
    <w:p w:rsidR="001766D5" w:rsidRDefault="001766D5">
      <w:pPr>
        <w:rPr>
          <w:rFonts w:eastAsia="Times New Roman"/>
          <w:b/>
          <w:bCs/>
        </w:rPr>
      </w:pPr>
      <w:bookmarkStart w:id="15" w:name="_Toc451774461"/>
      <w:r>
        <w:rPr>
          <w:b/>
        </w:rPr>
        <w:br w:type="page"/>
      </w:r>
    </w:p>
    <w:p w:rsidR="001766D5" w:rsidRDefault="001766D5" w:rsidP="001766D5">
      <w:pPr>
        <w:pStyle w:val="Tabletitle"/>
      </w:pPr>
      <w:proofErr w:type="gramStart"/>
      <w:r w:rsidRPr="00CC036D">
        <w:rPr>
          <w:b/>
        </w:rPr>
        <w:lastRenderedPageBreak/>
        <w:t>Table</w:t>
      </w:r>
      <w:r>
        <w:rPr>
          <w:b/>
        </w:rPr>
        <w:t xml:space="preserve"> 6</w:t>
      </w:r>
      <w:r w:rsidRPr="00CC036D">
        <w:rPr>
          <w:b/>
        </w:rPr>
        <w:t>.</w:t>
      </w:r>
      <w:proofErr w:type="gramEnd"/>
      <w:r>
        <w:t xml:space="preserve"> Summary of Recreational AMs under the alternatives</w:t>
      </w:r>
      <w:bookmarkEnd w:id="15"/>
    </w:p>
    <w:tbl>
      <w:tblPr>
        <w:tblW w:w="97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2905"/>
        <w:gridCol w:w="5015"/>
      </w:tblGrid>
      <w:tr w:rsidR="001766D5" w:rsidRPr="001766D5" w:rsidTr="00695890">
        <w:tc>
          <w:tcPr>
            <w:tcW w:w="1795" w:type="dxa"/>
          </w:tcPr>
          <w:p w:rsidR="001766D5" w:rsidRPr="001766D5" w:rsidRDefault="001766D5" w:rsidP="00695890">
            <w:pPr>
              <w:spacing w:after="160" w:line="259" w:lineRule="auto"/>
              <w:rPr>
                <w:sz w:val="22"/>
              </w:rPr>
            </w:pPr>
          </w:p>
        </w:tc>
        <w:tc>
          <w:tcPr>
            <w:tcW w:w="2905" w:type="dxa"/>
          </w:tcPr>
          <w:p w:rsidR="001766D5" w:rsidRPr="001766D5" w:rsidRDefault="001766D5" w:rsidP="00695890">
            <w:pPr>
              <w:spacing w:after="160" w:line="259" w:lineRule="auto"/>
              <w:rPr>
                <w:sz w:val="22"/>
              </w:rPr>
            </w:pPr>
            <w:r w:rsidRPr="001766D5">
              <w:rPr>
                <w:sz w:val="22"/>
              </w:rPr>
              <w:t>In-season AM</w:t>
            </w:r>
          </w:p>
        </w:tc>
        <w:tc>
          <w:tcPr>
            <w:tcW w:w="5015" w:type="dxa"/>
          </w:tcPr>
          <w:p w:rsidR="001766D5" w:rsidRPr="001766D5" w:rsidRDefault="001766D5" w:rsidP="00695890">
            <w:pPr>
              <w:spacing w:after="160" w:line="259" w:lineRule="auto"/>
              <w:rPr>
                <w:sz w:val="22"/>
              </w:rPr>
            </w:pPr>
            <w:r w:rsidRPr="001766D5">
              <w:rPr>
                <w:sz w:val="22"/>
              </w:rPr>
              <w:t>Post-season AM</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1 (status quo)</w:t>
            </w:r>
          </w:p>
        </w:tc>
        <w:tc>
          <w:tcPr>
            <w:tcW w:w="2905" w:type="dxa"/>
          </w:tcPr>
          <w:p w:rsidR="001766D5" w:rsidRPr="001766D5" w:rsidRDefault="001766D5" w:rsidP="00695890">
            <w:pPr>
              <w:spacing w:after="160" w:line="259" w:lineRule="auto"/>
              <w:rPr>
                <w:sz w:val="22"/>
              </w:rPr>
            </w:pPr>
            <w:r w:rsidRPr="001766D5">
              <w:rPr>
                <w:sz w:val="22"/>
              </w:rPr>
              <w:t>No in-season closure</w:t>
            </w:r>
          </w:p>
        </w:tc>
        <w:tc>
          <w:tcPr>
            <w:tcW w:w="5015" w:type="dxa"/>
          </w:tcPr>
          <w:p w:rsidR="001766D5" w:rsidRPr="001766D5" w:rsidRDefault="001766D5" w:rsidP="00695890">
            <w:pPr>
              <w:spacing w:after="160" w:line="259" w:lineRule="auto"/>
              <w:rPr>
                <w:sz w:val="22"/>
              </w:rPr>
            </w:pPr>
            <w:r w:rsidRPr="001766D5">
              <w:rPr>
                <w:sz w:val="22"/>
              </w:rPr>
              <w:t xml:space="preserve">Reduced season length so ACT is met but ACL not exceeded ONLY if </w:t>
            </w:r>
            <w:proofErr w:type="spellStart"/>
            <w:r w:rsidRPr="001766D5">
              <w:rPr>
                <w:sz w:val="22"/>
              </w:rPr>
              <w:t>rec</w:t>
            </w:r>
            <w:proofErr w:type="spellEnd"/>
            <w:r w:rsidRPr="001766D5">
              <w:rPr>
                <w:sz w:val="22"/>
              </w:rPr>
              <w:t xml:space="preserve"> ACL and total ACL are exceeded. Use the rolling average of most recent 3 years. </w:t>
            </w:r>
          </w:p>
          <w:p w:rsidR="001766D5" w:rsidRPr="001766D5" w:rsidRDefault="001766D5" w:rsidP="00695890">
            <w:pPr>
              <w:spacing w:after="160" w:line="259" w:lineRule="auto"/>
              <w:rPr>
                <w:sz w:val="22"/>
              </w:rPr>
            </w:pPr>
            <w:r w:rsidRPr="001766D5">
              <w:rPr>
                <w:sz w:val="22"/>
              </w:rPr>
              <w:t xml:space="preserve">Reduce the recreational ACL if </w:t>
            </w:r>
            <w:proofErr w:type="spellStart"/>
            <w:r w:rsidRPr="001766D5">
              <w:rPr>
                <w:sz w:val="22"/>
              </w:rPr>
              <w:t>rec</w:t>
            </w:r>
            <w:proofErr w:type="spellEnd"/>
            <w:r w:rsidRPr="001766D5">
              <w:rPr>
                <w:sz w:val="22"/>
              </w:rPr>
              <w:t xml:space="preserve"> ACL and total ACL are exceeded, AND Atlantic cobia is designated as overfished. </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2. Sub-alt 2a</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Reduce season length based on last year’s landings if overfished</w:t>
            </w:r>
          </w:p>
          <w:p w:rsidR="001766D5" w:rsidRPr="001766D5" w:rsidRDefault="001766D5" w:rsidP="00695890">
            <w:pPr>
              <w:spacing w:after="160" w:line="259" w:lineRule="auto"/>
              <w:rPr>
                <w:sz w:val="22"/>
              </w:rPr>
            </w:pPr>
            <w:r w:rsidRPr="001766D5">
              <w:rPr>
                <w:sz w:val="22"/>
              </w:rPr>
              <w:t>*Removes 3-year rolling average for evaluation</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2. Sub-alt 2b</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Reduce season length based on last year’s landings if total ACL exceeded</w:t>
            </w:r>
          </w:p>
          <w:p w:rsidR="001766D5" w:rsidRPr="001766D5" w:rsidRDefault="001766D5" w:rsidP="00695890">
            <w:pPr>
              <w:spacing w:after="160" w:line="259" w:lineRule="auto"/>
              <w:rPr>
                <w:sz w:val="22"/>
              </w:rPr>
            </w:pPr>
            <w:r w:rsidRPr="001766D5">
              <w:rPr>
                <w:sz w:val="22"/>
              </w:rPr>
              <w:t xml:space="preserve">*Removes 3-year rolling average for evaluation </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2. Sub-alt 2c</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Reduce season length based on last year’s landings if total ACL exceeded and overfished</w:t>
            </w:r>
          </w:p>
          <w:p w:rsidR="001766D5" w:rsidRPr="001766D5" w:rsidRDefault="001766D5" w:rsidP="00695890">
            <w:pPr>
              <w:spacing w:after="160" w:line="259" w:lineRule="auto"/>
              <w:rPr>
                <w:sz w:val="22"/>
              </w:rPr>
            </w:pPr>
            <w:r w:rsidRPr="001766D5">
              <w:rPr>
                <w:sz w:val="22"/>
              </w:rPr>
              <w:t>*Removes 3-year rolling average for evaluation</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3 Sub-alt 3a</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 xml:space="preserve">Reduce </w:t>
            </w:r>
            <w:proofErr w:type="spellStart"/>
            <w:r w:rsidRPr="001766D5">
              <w:rPr>
                <w:sz w:val="22"/>
              </w:rPr>
              <w:t>rec</w:t>
            </w:r>
            <w:proofErr w:type="spellEnd"/>
            <w:r w:rsidRPr="001766D5">
              <w:rPr>
                <w:sz w:val="22"/>
              </w:rPr>
              <w:t xml:space="preserve"> ACL by amount of the overage if overfished</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3 Sub-alt 3b</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 xml:space="preserve">Reduce </w:t>
            </w:r>
            <w:proofErr w:type="spellStart"/>
            <w:r w:rsidRPr="001766D5">
              <w:rPr>
                <w:sz w:val="22"/>
              </w:rPr>
              <w:t>rec</w:t>
            </w:r>
            <w:proofErr w:type="spellEnd"/>
            <w:r w:rsidRPr="001766D5">
              <w:rPr>
                <w:sz w:val="22"/>
              </w:rPr>
              <w:t xml:space="preserve"> ACL by amount of the overage if total ACL exceeded </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highlight w:val="yellow"/>
              </w:rPr>
              <w:t>Alternative 3 Sub-alt 3c</w:t>
            </w:r>
          </w:p>
        </w:tc>
        <w:tc>
          <w:tcPr>
            <w:tcW w:w="2905" w:type="dxa"/>
          </w:tcPr>
          <w:p w:rsidR="001766D5" w:rsidRPr="001766D5" w:rsidRDefault="001766D5" w:rsidP="00695890">
            <w:pPr>
              <w:spacing w:after="160" w:line="259" w:lineRule="auto"/>
              <w:rPr>
                <w:sz w:val="22"/>
              </w:rPr>
            </w:pPr>
          </w:p>
        </w:tc>
        <w:tc>
          <w:tcPr>
            <w:tcW w:w="5015" w:type="dxa"/>
          </w:tcPr>
          <w:p w:rsidR="001766D5" w:rsidRPr="001766D5" w:rsidRDefault="001766D5" w:rsidP="00695890">
            <w:pPr>
              <w:spacing w:after="160" w:line="259" w:lineRule="auto"/>
              <w:rPr>
                <w:sz w:val="22"/>
              </w:rPr>
            </w:pPr>
            <w:r w:rsidRPr="001766D5">
              <w:rPr>
                <w:sz w:val="22"/>
              </w:rPr>
              <w:t xml:space="preserve">Reduce </w:t>
            </w:r>
            <w:proofErr w:type="spellStart"/>
            <w:r w:rsidRPr="001766D5">
              <w:rPr>
                <w:sz w:val="22"/>
              </w:rPr>
              <w:t>rec</w:t>
            </w:r>
            <w:proofErr w:type="spellEnd"/>
            <w:r w:rsidRPr="001766D5">
              <w:rPr>
                <w:sz w:val="22"/>
              </w:rPr>
              <w:t xml:space="preserve"> ACL by amount of the overage if total ACL exceeded and overfished</w:t>
            </w: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rPr>
              <w:t>Alternative 4 Sub-alt 4a</w:t>
            </w:r>
          </w:p>
        </w:tc>
        <w:tc>
          <w:tcPr>
            <w:tcW w:w="2905" w:type="dxa"/>
          </w:tcPr>
          <w:p w:rsidR="001766D5" w:rsidRPr="001766D5" w:rsidRDefault="001766D5" w:rsidP="00695890">
            <w:pPr>
              <w:spacing w:after="160" w:line="259" w:lineRule="auto"/>
              <w:rPr>
                <w:sz w:val="22"/>
              </w:rPr>
            </w:pPr>
            <w:r w:rsidRPr="001766D5">
              <w:rPr>
                <w:sz w:val="22"/>
              </w:rPr>
              <w:t xml:space="preserve">In-season closure when </w:t>
            </w:r>
            <w:proofErr w:type="spellStart"/>
            <w:r w:rsidRPr="001766D5">
              <w:rPr>
                <w:sz w:val="22"/>
              </w:rPr>
              <w:t>rec</w:t>
            </w:r>
            <w:proofErr w:type="spellEnd"/>
            <w:r w:rsidRPr="001766D5">
              <w:rPr>
                <w:sz w:val="22"/>
              </w:rPr>
              <w:t xml:space="preserve"> ACL is met or projected to be met if overfished</w:t>
            </w:r>
          </w:p>
        </w:tc>
        <w:tc>
          <w:tcPr>
            <w:tcW w:w="5015" w:type="dxa"/>
          </w:tcPr>
          <w:p w:rsidR="001766D5" w:rsidRPr="001766D5" w:rsidRDefault="001766D5" w:rsidP="00695890">
            <w:pPr>
              <w:spacing w:after="160" w:line="259" w:lineRule="auto"/>
              <w:rPr>
                <w:sz w:val="22"/>
              </w:rPr>
            </w:pPr>
          </w:p>
        </w:tc>
      </w:tr>
      <w:tr w:rsidR="001766D5" w:rsidRPr="001766D5" w:rsidTr="00695890">
        <w:tc>
          <w:tcPr>
            <w:tcW w:w="1795" w:type="dxa"/>
          </w:tcPr>
          <w:p w:rsidR="001766D5" w:rsidRPr="001766D5" w:rsidRDefault="001766D5" w:rsidP="00695890">
            <w:pPr>
              <w:spacing w:after="160" w:line="259" w:lineRule="auto"/>
              <w:rPr>
                <w:sz w:val="22"/>
              </w:rPr>
            </w:pPr>
            <w:r w:rsidRPr="001766D5">
              <w:rPr>
                <w:sz w:val="22"/>
                <w:highlight w:val="yellow"/>
              </w:rPr>
              <w:t>Alternative 4 Sub-alt 4b</w:t>
            </w:r>
          </w:p>
        </w:tc>
        <w:tc>
          <w:tcPr>
            <w:tcW w:w="2905" w:type="dxa"/>
          </w:tcPr>
          <w:p w:rsidR="001766D5" w:rsidRPr="001766D5" w:rsidRDefault="001766D5" w:rsidP="00695890">
            <w:pPr>
              <w:spacing w:after="160" w:line="259" w:lineRule="auto"/>
              <w:rPr>
                <w:sz w:val="22"/>
              </w:rPr>
            </w:pPr>
            <w:r w:rsidRPr="001766D5">
              <w:rPr>
                <w:sz w:val="22"/>
              </w:rPr>
              <w:t xml:space="preserve">In-season closure when </w:t>
            </w:r>
            <w:proofErr w:type="spellStart"/>
            <w:r w:rsidRPr="001766D5">
              <w:rPr>
                <w:sz w:val="22"/>
              </w:rPr>
              <w:t>rec</w:t>
            </w:r>
            <w:proofErr w:type="spellEnd"/>
            <w:r w:rsidRPr="001766D5">
              <w:rPr>
                <w:sz w:val="22"/>
              </w:rPr>
              <w:t xml:space="preserve"> ACL is met or projected to be met regardless of stock status</w:t>
            </w:r>
          </w:p>
        </w:tc>
        <w:tc>
          <w:tcPr>
            <w:tcW w:w="5015" w:type="dxa"/>
          </w:tcPr>
          <w:p w:rsidR="001766D5" w:rsidRPr="001766D5" w:rsidRDefault="001766D5" w:rsidP="00695890">
            <w:pPr>
              <w:spacing w:after="160" w:line="259" w:lineRule="auto"/>
              <w:rPr>
                <w:sz w:val="22"/>
              </w:rPr>
            </w:pPr>
          </w:p>
        </w:tc>
      </w:tr>
      <w:tr w:rsidR="001766D5" w:rsidRPr="001766D5" w:rsidTr="00695890">
        <w:tc>
          <w:tcPr>
            <w:tcW w:w="1795" w:type="dxa"/>
          </w:tcPr>
          <w:p w:rsidR="001766D5" w:rsidRPr="001766D5" w:rsidRDefault="001766D5" w:rsidP="00695890">
            <w:pPr>
              <w:spacing w:after="160" w:line="259" w:lineRule="auto"/>
              <w:rPr>
                <w:sz w:val="22"/>
                <w:highlight w:val="yellow"/>
              </w:rPr>
            </w:pPr>
            <w:r w:rsidRPr="001766D5">
              <w:rPr>
                <w:sz w:val="22"/>
              </w:rPr>
              <w:t>Potential Alternative 5 Sub-alt 5a</w:t>
            </w:r>
          </w:p>
        </w:tc>
        <w:tc>
          <w:tcPr>
            <w:tcW w:w="2905" w:type="dxa"/>
          </w:tcPr>
          <w:p w:rsidR="001766D5" w:rsidRPr="001766D5" w:rsidRDefault="001766D5" w:rsidP="00695890">
            <w:pPr>
              <w:spacing w:after="160" w:line="259" w:lineRule="auto"/>
              <w:rPr>
                <w:sz w:val="22"/>
              </w:rPr>
            </w:pPr>
            <w:r w:rsidRPr="001766D5">
              <w:rPr>
                <w:sz w:val="22"/>
              </w:rPr>
              <w:t xml:space="preserve">In-season closure when </w:t>
            </w:r>
            <w:proofErr w:type="spellStart"/>
            <w:r w:rsidRPr="001766D5">
              <w:rPr>
                <w:sz w:val="22"/>
              </w:rPr>
              <w:t>rec</w:t>
            </w:r>
            <w:proofErr w:type="spellEnd"/>
            <w:r w:rsidRPr="001766D5">
              <w:rPr>
                <w:sz w:val="22"/>
              </w:rPr>
              <w:t xml:space="preserve"> ACT is met or projected to be met if overfished</w:t>
            </w:r>
          </w:p>
        </w:tc>
        <w:tc>
          <w:tcPr>
            <w:tcW w:w="5015" w:type="dxa"/>
          </w:tcPr>
          <w:p w:rsidR="001766D5" w:rsidRPr="001766D5" w:rsidRDefault="001766D5" w:rsidP="00695890">
            <w:pPr>
              <w:spacing w:after="160" w:line="259" w:lineRule="auto"/>
              <w:rPr>
                <w:sz w:val="22"/>
              </w:rPr>
            </w:pPr>
          </w:p>
        </w:tc>
      </w:tr>
      <w:tr w:rsidR="001766D5" w:rsidRPr="001766D5" w:rsidTr="00695890">
        <w:tc>
          <w:tcPr>
            <w:tcW w:w="1795" w:type="dxa"/>
          </w:tcPr>
          <w:p w:rsidR="001766D5" w:rsidRPr="001766D5" w:rsidRDefault="001766D5" w:rsidP="00695890">
            <w:pPr>
              <w:spacing w:after="160" w:line="259" w:lineRule="auto"/>
              <w:rPr>
                <w:sz w:val="22"/>
                <w:highlight w:val="yellow"/>
              </w:rPr>
            </w:pPr>
            <w:r w:rsidRPr="001766D5">
              <w:rPr>
                <w:sz w:val="22"/>
              </w:rPr>
              <w:t>Potential Alternative 5 Sub-alt 5b</w:t>
            </w:r>
          </w:p>
        </w:tc>
        <w:tc>
          <w:tcPr>
            <w:tcW w:w="2905" w:type="dxa"/>
          </w:tcPr>
          <w:p w:rsidR="001766D5" w:rsidRPr="001766D5" w:rsidRDefault="001766D5" w:rsidP="00695890">
            <w:pPr>
              <w:spacing w:after="160" w:line="259" w:lineRule="auto"/>
              <w:rPr>
                <w:sz w:val="22"/>
              </w:rPr>
            </w:pPr>
            <w:r w:rsidRPr="001766D5">
              <w:rPr>
                <w:sz w:val="22"/>
              </w:rPr>
              <w:t xml:space="preserve">In-season closure when </w:t>
            </w:r>
            <w:proofErr w:type="spellStart"/>
            <w:r w:rsidRPr="001766D5">
              <w:rPr>
                <w:sz w:val="22"/>
              </w:rPr>
              <w:t>rec</w:t>
            </w:r>
            <w:proofErr w:type="spellEnd"/>
            <w:r w:rsidRPr="001766D5">
              <w:rPr>
                <w:sz w:val="22"/>
              </w:rPr>
              <w:t xml:space="preserve"> ACT is met or projected to be met regardless of stock status</w:t>
            </w:r>
          </w:p>
        </w:tc>
        <w:tc>
          <w:tcPr>
            <w:tcW w:w="5015" w:type="dxa"/>
          </w:tcPr>
          <w:p w:rsidR="001766D5" w:rsidRPr="001766D5" w:rsidRDefault="001766D5" w:rsidP="00695890">
            <w:pPr>
              <w:spacing w:after="160" w:line="259" w:lineRule="auto"/>
              <w:rPr>
                <w:sz w:val="22"/>
              </w:rPr>
            </w:pPr>
          </w:p>
        </w:tc>
      </w:tr>
    </w:tbl>
    <w:p w:rsidR="001766D5" w:rsidRDefault="001766D5" w:rsidP="006E4101">
      <w:pPr>
        <w:ind w:left="360"/>
      </w:pPr>
    </w:p>
    <w:p w:rsidR="006E4101" w:rsidRDefault="006E4101" w:rsidP="006E4101">
      <w:pPr>
        <w:pStyle w:val="NoSpacing"/>
        <w:rPr>
          <w:sz w:val="24"/>
          <w:szCs w:val="24"/>
        </w:rPr>
      </w:pPr>
    </w:p>
    <w:p w:rsidR="001766D5" w:rsidRDefault="001766D5" w:rsidP="006E4101">
      <w:pPr>
        <w:pStyle w:val="NoSpacing"/>
        <w:rPr>
          <w:sz w:val="24"/>
          <w:szCs w:val="24"/>
        </w:rPr>
      </w:pPr>
    </w:p>
    <w:tbl>
      <w:tblPr>
        <w:tblStyle w:val="TableGrid"/>
        <w:tblW w:w="5000" w:type="pct"/>
        <w:tblBorders>
          <w:insideH w:val="none" w:sz="0" w:space="0" w:color="auto"/>
          <w:insideV w:val="none" w:sz="0" w:space="0" w:color="auto"/>
        </w:tblBorders>
        <w:tblLook w:val="04A0"/>
      </w:tblPr>
      <w:tblGrid>
        <w:gridCol w:w="10296"/>
      </w:tblGrid>
      <w:tr w:rsidR="006E4101" w:rsidTr="00695890">
        <w:trPr>
          <w:trHeight w:val="395"/>
        </w:trPr>
        <w:tc>
          <w:tcPr>
            <w:tcW w:w="5000" w:type="pct"/>
            <w:shd w:val="clear" w:color="auto" w:fill="D9D9D9" w:themeFill="background1" w:themeFillShade="D9"/>
          </w:tcPr>
          <w:p w:rsidR="006E4101" w:rsidRDefault="006E4101" w:rsidP="00695890">
            <w:r>
              <w:lastRenderedPageBreak/>
              <w:t>Public input</w:t>
            </w:r>
          </w:p>
        </w:tc>
      </w:tr>
      <w:tr w:rsidR="006E4101" w:rsidTr="00695890">
        <w:trPr>
          <w:trHeight w:val="585"/>
        </w:trPr>
        <w:tc>
          <w:tcPr>
            <w:tcW w:w="5000" w:type="pct"/>
          </w:tcPr>
          <w:p w:rsidR="001766D5" w:rsidRDefault="001766D5" w:rsidP="001766D5">
            <w:pPr>
              <w:rPr>
                <w:bCs/>
              </w:rPr>
            </w:pPr>
            <w:r>
              <w:rPr>
                <w:bCs/>
              </w:rPr>
              <w:t>- ACL calculated based on landings from 2015-2018</w:t>
            </w:r>
          </w:p>
          <w:p w:rsidR="001766D5" w:rsidRDefault="001766D5" w:rsidP="001766D5">
            <w:pPr>
              <w:rPr>
                <w:bCs/>
              </w:rPr>
            </w:pPr>
            <w:r>
              <w:rPr>
                <w:bCs/>
              </w:rPr>
              <w:t>- Use a minimum of a 3-year average</w:t>
            </w:r>
            <w:r w:rsidRPr="004546B4">
              <w:rPr>
                <w:bCs/>
              </w:rPr>
              <w:t xml:space="preserve"> in an annual average AC</w:t>
            </w:r>
            <w:r>
              <w:rPr>
                <w:bCs/>
              </w:rPr>
              <w:t xml:space="preserve">L overage should be utilized to </w:t>
            </w:r>
            <w:r w:rsidRPr="004546B4">
              <w:rPr>
                <w:bCs/>
              </w:rPr>
              <w:t>initiate a shortened season/closure.</w:t>
            </w:r>
          </w:p>
          <w:p w:rsidR="001766D5" w:rsidRDefault="001766D5" w:rsidP="001766D5">
            <w:pPr>
              <w:rPr>
                <w:bCs/>
              </w:rPr>
            </w:pPr>
            <w:r>
              <w:rPr>
                <w:bCs/>
              </w:rPr>
              <w:t xml:space="preserve">- The AM should be modified so that the reduced season length will not have more negative effects on one area/state than on the other states. </w:t>
            </w:r>
          </w:p>
          <w:p w:rsidR="001766D5" w:rsidRPr="00E8086E" w:rsidRDefault="001766D5" w:rsidP="001766D5">
            <w:pPr>
              <w:rPr>
                <w:bCs/>
              </w:rPr>
            </w:pPr>
            <w:r>
              <w:rPr>
                <w:bCs/>
              </w:rPr>
              <w:t xml:space="preserve">- Improve data collection for data used in evaluating an overage. </w:t>
            </w:r>
          </w:p>
          <w:p w:rsidR="006E4101" w:rsidRDefault="006E4101" w:rsidP="00695890"/>
          <w:p w:rsidR="00DB68B5" w:rsidRDefault="00DB68B5" w:rsidP="00695890"/>
          <w:p w:rsidR="00DB68B5" w:rsidRDefault="00DB68B5" w:rsidP="00695890">
            <w:r>
              <w:t>Online form comments:</w:t>
            </w:r>
          </w:p>
          <w:p w:rsidR="00DB68B5" w:rsidRDefault="00DB68B5" w:rsidP="00DB68B5">
            <w:pPr>
              <w:rPr>
                <w:rFonts w:eastAsiaTheme="minorHAnsi" w:cstheme="minorBidi"/>
                <w:bCs/>
              </w:rPr>
            </w:pPr>
            <w:r>
              <w:t xml:space="preserve">- </w:t>
            </w:r>
            <w:r>
              <w:rPr>
                <w:rFonts w:eastAsiaTheme="minorHAnsi" w:cstheme="minorBidi"/>
                <w:bCs/>
              </w:rPr>
              <w:t>T</w:t>
            </w:r>
            <w:r w:rsidRPr="00DB68B5">
              <w:rPr>
                <w:rFonts w:eastAsiaTheme="minorHAnsi" w:cstheme="minorBidi"/>
                <w:bCs/>
              </w:rPr>
              <w:t xml:space="preserve">he </w:t>
            </w:r>
            <w:r>
              <w:rPr>
                <w:rFonts w:eastAsiaTheme="minorHAnsi" w:cstheme="minorBidi"/>
                <w:bCs/>
              </w:rPr>
              <w:t xml:space="preserve">current </w:t>
            </w:r>
            <w:r w:rsidRPr="00DB68B5">
              <w:rPr>
                <w:rFonts w:eastAsiaTheme="minorHAnsi" w:cstheme="minorBidi"/>
                <w:bCs/>
              </w:rPr>
              <w:t>AM and 2016 closure is inconsistent with NS2 (best information available) and NS4 (cannot discriminate among states)</w:t>
            </w:r>
          </w:p>
          <w:p w:rsidR="00240D64" w:rsidRDefault="00240D64" w:rsidP="00DB68B5">
            <w:pPr>
              <w:rPr>
                <w:rFonts w:eastAsiaTheme="minorHAnsi" w:cstheme="minorBidi"/>
                <w:bCs/>
              </w:rPr>
            </w:pPr>
            <w:r>
              <w:rPr>
                <w:rFonts w:eastAsiaTheme="minorHAnsi" w:cstheme="minorBidi"/>
                <w:bCs/>
              </w:rPr>
              <w:t xml:space="preserve">- The AM should not be triggered after only one year of overage. </w:t>
            </w:r>
          </w:p>
          <w:p w:rsidR="00DB68B5" w:rsidRDefault="00DB68B5" w:rsidP="00DB68B5">
            <w:pPr>
              <w:rPr>
                <w:rFonts w:eastAsiaTheme="minorHAnsi" w:cstheme="minorBidi"/>
                <w:bCs/>
              </w:rPr>
            </w:pPr>
            <w:r>
              <w:rPr>
                <w:rFonts w:eastAsiaTheme="minorHAnsi" w:cstheme="minorBidi"/>
                <w:bCs/>
              </w:rPr>
              <w:t>- Improv</w:t>
            </w:r>
            <w:r w:rsidR="00240D64">
              <w:rPr>
                <w:rFonts w:eastAsiaTheme="minorHAnsi" w:cstheme="minorBidi"/>
                <w:bCs/>
              </w:rPr>
              <w:t>e monitoring and data collection</w:t>
            </w:r>
          </w:p>
          <w:p w:rsidR="00240D64" w:rsidRPr="00DB68B5" w:rsidRDefault="00240D64" w:rsidP="00DB68B5">
            <w:pPr>
              <w:rPr>
                <w:rFonts w:eastAsiaTheme="minorHAnsi" w:cstheme="minorBidi"/>
                <w:bCs/>
              </w:rPr>
            </w:pPr>
            <w:r>
              <w:rPr>
                <w:rFonts w:eastAsiaTheme="minorHAnsi" w:cstheme="minorBidi"/>
                <w:bCs/>
              </w:rPr>
              <w:t xml:space="preserve">- Mandatory recreational reporting to improve monitoring. </w:t>
            </w:r>
          </w:p>
          <w:p w:rsidR="00DB68B5" w:rsidRDefault="00DB68B5" w:rsidP="00695890"/>
        </w:tc>
      </w:tr>
    </w:tbl>
    <w:p w:rsidR="007A0020" w:rsidRDefault="007A0020" w:rsidP="007A0020">
      <w:pPr>
        <w:rPr>
          <w:bCs/>
        </w:rPr>
      </w:pPr>
    </w:p>
    <w:p w:rsidR="001766D5" w:rsidRDefault="001766D5" w:rsidP="001766D5"/>
    <w:p w:rsidR="007A0020" w:rsidRPr="0041651C" w:rsidRDefault="007A0020" w:rsidP="007A0020">
      <w:pPr>
        <w:pStyle w:val="Heading2"/>
        <w:rPr>
          <w:b/>
        </w:rPr>
      </w:pPr>
      <w:r>
        <w:rPr>
          <w:b/>
        </w:rPr>
        <w:t>COMMITTEE ACTIONS</w:t>
      </w:r>
    </w:p>
    <w:p w:rsidR="001766D5" w:rsidRDefault="001766D5" w:rsidP="001766D5">
      <w:pPr>
        <w:rPr>
          <w:sz w:val="28"/>
          <w:szCs w:val="28"/>
        </w:rPr>
      </w:pPr>
      <w:r>
        <w:rPr>
          <w:sz w:val="28"/>
          <w:szCs w:val="28"/>
        </w:rPr>
        <w:t>1</w:t>
      </w:r>
      <w:r w:rsidRPr="0041651C">
        <w:rPr>
          <w:sz w:val="28"/>
          <w:szCs w:val="28"/>
        </w:rPr>
        <w:t xml:space="preserve">) </w:t>
      </w:r>
      <w:r>
        <w:rPr>
          <w:sz w:val="28"/>
          <w:szCs w:val="28"/>
        </w:rPr>
        <w:t xml:space="preserve"> Do you want to add </w:t>
      </w:r>
      <w:r w:rsidRPr="00FD3A1D">
        <w:rPr>
          <w:b/>
          <w:sz w:val="28"/>
          <w:szCs w:val="28"/>
        </w:rPr>
        <w:t xml:space="preserve">Action </w:t>
      </w:r>
      <w:r>
        <w:rPr>
          <w:b/>
          <w:sz w:val="28"/>
          <w:szCs w:val="28"/>
        </w:rPr>
        <w:t>3</w:t>
      </w:r>
      <w:r>
        <w:rPr>
          <w:sz w:val="28"/>
          <w:szCs w:val="28"/>
        </w:rPr>
        <w:t>?</w:t>
      </w:r>
    </w:p>
    <w:p w:rsidR="001766D5" w:rsidRDefault="001766D5" w:rsidP="001766D5">
      <w:pPr>
        <w:rPr>
          <w:sz w:val="28"/>
          <w:szCs w:val="28"/>
        </w:rPr>
      </w:pPr>
    </w:p>
    <w:p w:rsidR="001766D5" w:rsidRDefault="000773A8" w:rsidP="001766D5">
      <w:pPr>
        <w:rPr>
          <w:sz w:val="28"/>
          <w:szCs w:val="28"/>
        </w:rPr>
      </w:pPr>
      <w:r>
        <w:rPr>
          <w:sz w:val="28"/>
          <w:szCs w:val="28"/>
        </w:rPr>
        <w:t>2</w:t>
      </w:r>
      <w:r w:rsidR="001766D5">
        <w:rPr>
          <w:sz w:val="28"/>
          <w:szCs w:val="28"/>
        </w:rPr>
        <w:t xml:space="preserve">) Do you want to add the draft alternatives and sub-alternatives? </w:t>
      </w:r>
      <w:r w:rsidR="001766D5">
        <w:rPr>
          <w:sz w:val="28"/>
          <w:szCs w:val="28"/>
        </w:rPr>
        <w:tab/>
      </w:r>
    </w:p>
    <w:p w:rsidR="001766D5" w:rsidRDefault="001766D5" w:rsidP="001766D5">
      <w:pPr>
        <w:ind w:firstLine="720"/>
        <w:rPr>
          <w:sz w:val="28"/>
          <w:szCs w:val="28"/>
        </w:rPr>
      </w:pPr>
      <w:r>
        <w:rPr>
          <w:sz w:val="28"/>
          <w:szCs w:val="28"/>
        </w:rPr>
        <w:t>- Revise, remove or add alternatives/</w:t>
      </w:r>
      <w:r w:rsidRPr="001766D5">
        <w:rPr>
          <w:sz w:val="28"/>
          <w:szCs w:val="28"/>
        </w:rPr>
        <w:t xml:space="preserve"> </w:t>
      </w:r>
      <w:r>
        <w:rPr>
          <w:sz w:val="28"/>
          <w:szCs w:val="28"/>
        </w:rPr>
        <w:t>sub-alternatives</w:t>
      </w:r>
    </w:p>
    <w:p w:rsidR="001766D5" w:rsidRDefault="001766D5" w:rsidP="001766D5">
      <w:pPr>
        <w:rPr>
          <w:sz w:val="28"/>
          <w:szCs w:val="28"/>
        </w:rPr>
      </w:pPr>
    </w:p>
    <w:p w:rsidR="001766D5" w:rsidRPr="00FD3A1D" w:rsidRDefault="000773A8" w:rsidP="001766D5">
      <w:pPr>
        <w:rPr>
          <w:sz w:val="28"/>
          <w:szCs w:val="28"/>
        </w:rPr>
      </w:pPr>
      <w:r>
        <w:rPr>
          <w:sz w:val="28"/>
          <w:szCs w:val="28"/>
        </w:rPr>
        <w:t>3</w:t>
      </w:r>
      <w:r w:rsidR="001766D5">
        <w:rPr>
          <w:sz w:val="28"/>
          <w:szCs w:val="28"/>
        </w:rPr>
        <w:t>) Do you want to select Preferred Alternatives/</w:t>
      </w:r>
      <w:r w:rsidR="001766D5" w:rsidRPr="001766D5">
        <w:rPr>
          <w:sz w:val="28"/>
          <w:szCs w:val="28"/>
        </w:rPr>
        <w:t xml:space="preserve"> </w:t>
      </w:r>
      <w:r w:rsidR="001766D5">
        <w:rPr>
          <w:sz w:val="28"/>
          <w:szCs w:val="28"/>
        </w:rPr>
        <w:t xml:space="preserve">sub-alternatives? </w:t>
      </w:r>
    </w:p>
    <w:p w:rsidR="007B6D3C" w:rsidRDefault="007B6D3C">
      <w:pPr>
        <w:rPr>
          <w:rFonts w:eastAsia="Times New Roman"/>
          <w:b/>
          <w:bCs/>
          <w:kern w:val="32"/>
          <w:sz w:val="28"/>
          <w:szCs w:val="32"/>
          <w:u w:val="single"/>
          <w:lang/>
        </w:rPr>
      </w:pPr>
      <w:r>
        <w:br w:type="page"/>
      </w:r>
    </w:p>
    <w:p w:rsidR="006E4101" w:rsidRDefault="006E4101" w:rsidP="006E4101">
      <w:pPr>
        <w:pStyle w:val="Heading1"/>
      </w:pPr>
      <w:bookmarkStart w:id="16" w:name="_Toc451721868"/>
      <w:r>
        <w:rPr>
          <w:i/>
        </w:rPr>
        <w:lastRenderedPageBreak/>
        <w:t xml:space="preserve">Draft </w:t>
      </w:r>
      <w:r>
        <w:t>Action 4: Establish a commercial trip limit for Atlantic cobia</w:t>
      </w:r>
      <w:bookmarkEnd w:id="16"/>
    </w:p>
    <w:p w:rsidR="006E4101" w:rsidRDefault="006E4101" w:rsidP="006E4101"/>
    <w:p w:rsidR="006E4101" w:rsidRDefault="006E4101" w:rsidP="006E4101">
      <w:proofErr w:type="gramStart"/>
      <w:r>
        <w:rPr>
          <w:b/>
        </w:rPr>
        <w:t>Alternative 1 (No Action).</w:t>
      </w:r>
      <w:proofErr w:type="gramEnd"/>
      <w:r>
        <w:t xml:space="preserve">  Do not modify the possession limit of 2 fish per person per day. </w:t>
      </w:r>
    </w:p>
    <w:p w:rsidR="006E4101" w:rsidRDefault="006E4101" w:rsidP="006E4101"/>
    <w:p w:rsidR="006E4101" w:rsidRDefault="006E4101" w:rsidP="006E4101">
      <w:proofErr w:type="gramStart"/>
      <w:r>
        <w:rPr>
          <w:b/>
        </w:rPr>
        <w:t>Alternative 2</w:t>
      </w:r>
      <w:r>
        <w:t>.</w:t>
      </w:r>
      <w:proofErr w:type="gramEnd"/>
      <w:r>
        <w:t>  Establish a commercial trip limit for Atlantic cobia of 2 fish per person per day. The trip limit will decrease to 1 fish per person per day when 75% of the commercial ACL has been met.</w:t>
      </w:r>
    </w:p>
    <w:p w:rsidR="006E4101" w:rsidRDefault="006E4101" w:rsidP="006E4101"/>
    <w:p w:rsidR="006E4101" w:rsidRDefault="006E4101" w:rsidP="006E4101">
      <w:proofErr w:type="gramStart"/>
      <w:r>
        <w:rPr>
          <w:b/>
        </w:rPr>
        <w:t>Alternative 3</w:t>
      </w:r>
      <w:r>
        <w:t>.</w:t>
      </w:r>
      <w:proofErr w:type="gramEnd"/>
      <w:r>
        <w:t xml:space="preserve">  Establish a commercial trip limit for Atlantic cobia of 6 fish per vessel per day. </w:t>
      </w:r>
    </w:p>
    <w:p w:rsidR="006E4101" w:rsidRDefault="006E4101" w:rsidP="006E4101">
      <w:r>
        <w:t>The trip limit will decrease to 3 fish per vessel per day when 75% of the commercial ACL has been met.</w:t>
      </w:r>
    </w:p>
    <w:p w:rsidR="00910D52" w:rsidRDefault="00910D52" w:rsidP="00910D52"/>
    <w:p w:rsidR="00B11284" w:rsidRDefault="00B11284" w:rsidP="00910D52">
      <w:proofErr w:type="gramStart"/>
      <w:r w:rsidRPr="00B11284">
        <w:rPr>
          <w:b/>
        </w:rPr>
        <w:t>Alternative 4.</w:t>
      </w:r>
      <w:proofErr w:type="gramEnd"/>
      <w:r>
        <w:t xml:space="preserve">  </w:t>
      </w:r>
      <w:proofErr w:type="gramStart"/>
      <w:r>
        <w:t>2 fish/person/day and no more than 6/vessel.</w:t>
      </w:r>
      <w:proofErr w:type="gramEnd"/>
      <w:r>
        <w:t xml:space="preserve"> </w:t>
      </w:r>
      <w:proofErr w:type="gramStart"/>
      <w:r>
        <w:t>When 75%, decreases to 1/person and 3/vessel.</w:t>
      </w:r>
      <w:proofErr w:type="gramEnd"/>
      <w:r>
        <w:t xml:space="preserve"> </w:t>
      </w:r>
    </w:p>
    <w:p w:rsidR="00B11284" w:rsidRDefault="00B11284" w:rsidP="00910D52"/>
    <w:p w:rsidR="00B11284" w:rsidRPr="00921CA7" w:rsidRDefault="00B11284" w:rsidP="00910D52"/>
    <w:p w:rsidR="00910D52" w:rsidRDefault="000773A8" w:rsidP="00910D52">
      <w:pPr>
        <w:rPr>
          <w:szCs w:val="24"/>
        </w:rPr>
      </w:pPr>
      <w:r>
        <w:rPr>
          <w:szCs w:val="24"/>
        </w:rPr>
        <w:t>75% of the commercial ACL for 2016 and subsequent years is 37,500 lbs.</w:t>
      </w:r>
    </w:p>
    <w:p w:rsidR="008B6243" w:rsidRDefault="008B6243" w:rsidP="008B6243">
      <w:pPr>
        <w:rPr>
          <w:bCs/>
        </w:rPr>
      </w:pPr>
      <w:bookmarkStart w:id="17" w:name="_Toc418696977"/>
    </w:p>
    <w:p w:rsidR="00F94C97" w:rsidRPr="0041651C" w:rsidRDefault="00F94C97" w:rsidP="00F94C97">
      <w:pPr>
        <w:pStyle w:val="Heading2"/>
        <w:rPr>
          <w:b/>
        </w:rPr>
      </w:pPr>
      <w:r>
        <w:rPr>
          <w:b/>
        </w:rPr>
        <w:t>COMMITTEE ACTIONS</w:t>
      </w:r>
    </w:p>
    <w:p w:rsidR="000773A8" w:rsidRDefault="000773A8" w:rsidP="000773A8">
      <w:pPr>
        <w:rPr>
          <w:sz w:val="28"/>
          <w:szCs w:val="28"/>
        </w:rPr>
      </w:pPr>
      <w:r>
        <w:rPr>
          <w:sz w:val="28"/>
          <w:szCs w:val="28"/>
        </w:rPr>
        <w:t>1</w:t>
      </w:r>
      <w:r w:rsidRPr="0041651C">
        <w:rPr>
          <w:sz w:val="28"/>
          <w:szCs w:val="28"/>
        </w:rPr>
        <w:t xml:space="preserve">) </w:t>
      </w:r>
      <w:r>
        <w:rPr>
          <w:sz w:val="28"/>
          <w:szCs w:val="28"/>
        </w:rPr>
        <w:t xml:space="preserve"> Do you want to add </w:t>
      </w:r>
      <w:r w:rsidRPr="00FD3A1D">
        <w:rPr>
          <w:b/>
          <w:sz w:val="28"/>
          <w:szCs w:val="28"/>
        </w:rPr>
        <w:t xml:space="preserve">Action </w:t>
      </w:r>
      <w:r>
        <w:rPr>
          <w:b/>
          <w:sz w:val="28"/>
          <w:szCs w:val="28"/>
        </w:rPr>
        <w:t>4</w:t>
      </w:r>
      <w:r>
        <w:rPr>
          <w:sz w:val="28"/>
          <w:szCs w:val="28"/>
        </w:rPr>
        <w:t>?</w:t>
      </w:r>
    </w:p>
    <w:p w:rsidR="000773A8" w:rsidRDefault="000773A8" w:rsidP="000773A8">
      <w:pPr>
        <w:rPr>
          <w:sz w:val="28"/>
          <w:szCs w:val="28"/>
        </w:rPr>
      </w:pPr>
    </w:p>
    <w:p w:rsidR="000773A8" w:rsidRDefault="000773A8" w:rsidP="000773A8">
      <w:pPr>
        <w:rPr>
          <w:sz w:val="28"/>
          <w:szCs w:val="28"/>
        </w:rPr>
      </w:pPr>
      <w:r>
        <w:rPr>
          <w:sz w:val="28"/>
          <w:szCs w:val="28"/>
        </w:rPr>
        <w:t xml:space="preserve">2) Do you want to add the draft alternatives? </w:t>
      </w:r>
      <w:r>
        <w:rPr>
          <w:sz w:val="28"/>
          <w:szCs w:val="28"/>
        </w:rPr>
        <w:tab/>
      </w:r>
    </w:p>
    <w:p w:rsidR="000773A8" w:rsidRDefault="000773A8" w:rsidP="000773A8">
      <w:pPr>
        <w:ind w:firstLine="720"/>
        <w:rPr>
          <w:sz w:val="28"/>
          <w:szCs w:val="28"/>
        </w:rPr>
      </w:pPr>
      <w:r>
        <w:rPr>
          <w:sz w:val="28"/>
          <w:szCs w:val="28"/>
        </w:rPr>
        <w:t>- Revise, remove or add alternatives</w:t>
      </w:r>
    </w:p>
    <w:p w:rsidR="000773A8" w:rsidRDefault="000773A8" w:rsidP="000773A8">
      <w:pPr>
        <w:rPr>
          <w:sz w:val="28"/>
          <w:szCs w:val="28"/>
        </w:rPr>
      </w:pPr>
    </w:p>
    <w:p w:rsidR="000773A8" w:rsidRPr="00FD3A1D" w:rsidRDefault="000773A8" w:rsidP="000773A8">
      <w:pPr>
        <w:rPr>
          <w:sz w:val="28"/>
          <w:szCs w:val="28"/>
        </w:rPr>
      </w:pPr>
      <w:r>
        <w:rPr>
          <w:sz w:val="28"/>
          <w:szCs w:val="28"/>
        </w:rPr>
        <w:t xml:space="preserve">3) Do you want to select a Preferred Alternative? </w:t>
      </w:r>
    </w:p>
    <w:bookmarkEnd w:id="17"/>
    <w:p w:rsidR="00547CC5" w:rsidRDefault="00547CC5" w:rsidP="00547CC5"/>
    <w:p w:rsidR="00547CC5" w:rsidRDefault="00547CC5" w:rsidP="00547CC5"/>
    <w:p w:rsidR="006E4101" w:rsidRDefault="006E4101" w:rsidP="007B70D2">
      <w:pPr>
        <w:pStyle w:val="Heading1"/>
        <w:rPr>
          <w:lang w:val="en-US"/>
        </w:rPr>
      </w:pPr>
      <w:r>
        <w:rPr>
          <w:lang w:val="en-US"/>
        </w:rPr>
        <w:t>COMMITTEE ACTION- PUBLIC HEARINGS:</w:t>
      </w:r>
    </w:p>
    <w:p w:rsidR="009F3FCB" w:rsidRDefault="009F3FCB" w:rsidP="006E4101">
      <w:r w:rsidRPr="006E4101">
        <w:t xml:space="preserve">APPROVE </w:t>
      </w:r>
      <w:r w:rsidR="006E4101" w:rsidRPr="006E4101">
        <w:t>FRAMEWORK AMENDMENT 4 FOR PUBLIC HEARINGS</w:t>
      </w:r>
    </w:p>
    <w:p w:rsidR="001663C5" w:rsidRDefault="001663C5" w:rsidP="006E4101"/>
    <w:p w:rsidR="001663C5" w:rsidRPr="001400EE" w:rsidRDefault="001663C5" w:rsidP="001663C5">
      <w:pPr>
        <w:pStyle w:val="Heading1"/>
        <w:rPr>
          <w:lang w:val="en-US"/>
        </w:rPr>
      </w:pPr>
      <w:r>
        <w:rPr>
          <w:lang w:val="en-US"/>
        </w:rPr>
        <w:t xml:space="preserve">TENTATIVE </w:t>
      </w:r>
      <w:r>
        <w:t>TIMELI</w:t>
      </w:r>
      <w:r>
        <w:rPr>
          <w:lang w:val="en-US"/>
        </w:rPr>
        <w:t>NE</w:t>
      </w:r>
      <w:r w:rsidRPr="003D46E2">
        <w:t xml:space="preserve"> FOR </w:t>
      </w:r>
      <w:r>
        <w:rPr>
          <w:lang w:val="en-US"/>
        </w:rPr>
        <w:t>FRAMEWORK AMENDMENT 4</w:t>
      </w:r>
    </w:p>
    <w:p w:rsidR="001663C5" w:rsidRDefault="001663C5" w:rsidP="001663C5">
      <w:pPr>
        <w:pStyle w:val="ListParagraph"/>
        <w:numPr>
          <w:ilvl w:val="0"/>
          <w:numId w:val="22"/>
        </w:numPr>
        <w:rPr>
          <w:sz w:val="28"/>
          <w:szCs w:val="28"/>
        </w:rPr>
      </w:pPr>
      <w:r>
        <w:rPr>
          <w:sz w:val="28"/>
          <w:szCs w:val="28"/>
        </w:rPr>
        <w:t>March 2016- South Atlantic Council directs staff to start development of the framework amendment</w:t>
      </w:r>
    </w:p>
    <w:p w:rsidR="001663C5" w:rsidRDefault="001663C5" w:rsidP="001663C5">
      <w:pPr>
        <w:pStyle w:val="ListParagraph"/>
        <w:numPr>
          <w:ilvl w:val="0"/>
          <w:numId w:val="34"/>
        </w:numPr>
        <w:rPr>
          <w:sz w:val="28"/>
          <w:szCs w:val="28"/>
        </w:rPr>
      </w:pPr>
      <w:r>
        <w:rPr>
          <w:sz w:val="28"/>
          <w:szCs w:val="28"/>
        </w:rPr>
        <w:t>June 2016- South Atlantic Council reviews public input, selects actions and alternatives, and approves for public hearings</w:t>
      </w:r>
    </w:p>
    <w:p w:rsidR="001663C5" w:rsidRDefault="001663C5" w:rsidP="001663C5">
      <w:pPr>
        <w:pStyle w:val="ListParagraph"/>
        <w:numPr>
          <w:ilvl w:val="0"/>
          <w:numId w:val="34"/>
        </w:numPr>
        <w:rPr>
          <w:sz w:val="28"/>
          <w:szCs w:val="28"/>
        </w:rPr>
      </w:pPr>
      <w:r>
        <w:rPr>
          <w:sz w:val="28"/>
          <w:szCs w:val="28"/>
        </w:rPr>
        <w:t>August 2016- Public hearings</w:t>
      </w:r>
    </w:p>
    <w:p w:rsidR="001663C5" w:rsidRDefault="001663C5" w:rsidP="001663C5">
      <w:pPr>
        <w:pStyle w:val="ListParagraph"/>
        <w:numPr>
          <w:ilvl w:val="0"/>
          <w:numId w:val="34"/>
        </w:numPr>
        <w:rPr>
          <w:sz w:val="28"/>
          <w:szCs w:val="28"/>
        </w:rPr>
      </w:pPr>
      <w:r>
        <w:rPr>
          <w:sz w:val="28"/>
          <w:szCs w:val="28"/>
        </w:rPr>
        <w:t>September 2016- Council reviews public hearing comments, selects preferred alternatives, and approves for formal review</w:t>
      </w:r>
    </w:p>
    <w:p w:rsidR="001663C5" w:rsidRDefault="001663C5" w:rsidP="001663C5">
      <w:pPr>
        <w:pStyle w:val="ListParagraph"/>
        <w:numPr>
          <w:ilvl w:val="0"/>
          <w:numId w:val="34"/>
        </w:numPr>
        <w:rPr>
          <w:sz w:val="28"/>
          <w:szCs w:val="28"/>
        </w:rPr>
      </w:pPr>
      <w:r>
        <w:rPr>
          <w:sz w:val="28"/>
          <w:szCs w:val="28"/>
        </w:rPr>
        <w:t>September 2016- Submit for Secretarial review</w:t>
      </w:r>
    </w:p>
    <w:p w:rsidR="001663C5" w:rsidRPr="001A7EB1" w:rsidRDefault="001663C5" w:rsidP="001663C5">
      <w:pPr>
        <w:pStyle w:val="ListParagraph"/>
        <w:numPr>
          <w:ilvl w:val="0"/>
          <w:numId w:val="34"/>
        </w:numPr>
        <w:rPr>
          <w:sz w:val="28"/>
          <w:szCs w:val="28"/>
        </w:rPr>
      </w:pPr>
      <w:r>
        <w:rPr>
          <w:sz w:val="28"/>
          <w:szCs w:val="28"/>
        </w:rPr>
        <w:t>Early spring 2017- Implementation</w:t>
      </w:r>
    </w:p>
    <w:p w:rsidR="001663C5" w:rsidRPr="006E4101" w:rsidRDefault="001663C5" w:rsidP="006E4101"/>
    <w:p w:rsidR="009F3FCB" w:rsidRDefault="009F3FCB" w:rsidP="006E4101"/>
    <w:p w:rsidR="009F3FCB" w:rsidRDefault="009F3FCB">
      <w:pPr>
        <w:rPr>
          <w:rFonts w:eastAsia="Times New Roman"/>
          <w:b/>
          <w:bCs/>
          <w:kern w:val="32"/>
          <w:sz w:val="28"/>
          <w:szCs w:val="32"/>
          <w:u w:val="single"/>
          <w:lang/>
        </w:rPr>
      </w:pPr>
    </w:p>
    <w:sectPr w:rsidR="009F3FCB" w:rsidSect="005367AE">
      <w:footerReference w:type="default" r:id="rId12"/>
      <w:footerReference w:type="first" r:id="rId13"/>
      <w:pgSz w:w="12240" w:h="15840"/>
      <w:pgMar w:top="1080" w:right="1080" w:bottom="1080" w:left="1080" w:header="720" w:footer="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A23" w:rsidRDefault="00A55A23" w:rsidP="008F536D">
      <w:r>
        <w:separator/>
      </w:r>
    </w:p>
  </w:endnote>
  <w:endnote w:type="continuationSeparator" w:id="0">
    <w:p w:rsidR="00A55A23" w:rsidRDefault="00A55A23" w:rsidP="008F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sewood Std Regular">
    <w:altName w:val="Cambria"/>
    <w:panose1 w:val="00000000000000000000"/>
    <w:charset w:val="00"/>
    <w:family w:val="decorative"/>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90" w:rsidRPr="00A71801" w:rsidRDefault="00695890" w:rsidP="007A3016">
    <w:pPr>
      <w:pStyle w:val="Footer"/>
      <w:rPr>
        <w:sz w:val="22"/>
      </w:rPr>
    </w:pPr>
    <w:r>
      <w:rPr>
        <w:sz w:val="22"/>
      </w:rPr>
      <w:t>CMP Framework Am 4</w:t>
    </w:r>
    <w:r w:rsidRPr="00A71801">
      <w:rPr>
        <w:sz w:val="22"/>
      </w:rPr>
      <w:tab/>
    </w:r>
    <w:r w:rsidRPr="00A71801">
      <w:rPr>
        <w:sz w:val="22"/>
      </w:rPr>
      <w:tab/>
    </w:r>
    <w:r>
      <w:rPr>
        <w:sz w:val="22"/>
      </w:rPr>
      <w:t>SA Mackerel Committee</w:t>
    </w:r>
  </w:p>
  <w:p w:rsidR="00695890" w:rsidRPr="00A71801" w:rsidRDefault="00695890" w:rsidP="007A3016">
    <w:pPr>
      <w:pStyle w:val="Footer"/>
      <w:rPr>
        <w:sz w:val="22"/>
      </w:rPr>
    </w:pPr>
    <w:r>
      <w:rPr>
        <w:sz w:val="22"/>
      </w:rPr>
      <w:t>Decision Document</w:t>
    </w:r>
    <w:r w:rsidRPr="00A71801">
      <w:rPr>
        <w:sz w:val="22"/>
      </w:rPr>
      <w:tab/>
    </w:r>
    <w:r w:rsidRPr="00A71801">
      <w:rPr>
        <w:sz w:val="22"/>
      </w:rPr>
      <w:tab/>
    </w:r>
    <w:r>
      <w:rPr>
        <w:sz w:val="22"/>
      </w:rPr>
      <w:t>June 2016</w:t>
    </w:r>
  </w:p>
  <w:sdt>
    <w:sdtPr>
      <w:id w:val="879370199"/>
      <w:docPartObj>
        <w:docPartGallery w:val="Page Numbers (Bottom of Page)"/>
        <w:docPartUnique/>
      </w:docPartObj>
    </w:sdtPr>
    <w:sdtEndPr>
      <w:rPr>
        <w:noProof/>
      </w:rPr>
    </w:sdtEndPr>
    <w:sdtContent>
      <w:p w:rsidR="00695890" w:rsidRPr="00A71801" w:rsidRDefault="00695890" w:rsidP="007A3016">
        <w:pPr>
          <w:pStyle w:val="Footer"/>
          <w:jc w:val="center"/>
        </w:pPr>
        <w:r w:rsidRPr="00A71801">
          <w:rPr>
            <w:sz w:val="22"/>
          </w:rPr>
          <w:fldChar w:fldCharType="begin"/>
        </w:r>
        <w:r w:rsidRPr="00A71801">
          <w:rPr>
            <w:sz w:val="22"/>
          </w:rPr>
          <w:instrText xml:space="preserve"> PAGE   \* MERGEFORMAT </w:instrText>
        </w:r>
        <w:r w:rsidRPr="00A71801">
          <w:rPr>
            <w:sz w:val="22"/>
          </w:rPr>
          <w:fldChar w:fldCharType="separate"/>
        </w:r>
        <w:r w:rsidR="00B11284">
          <w:rPr>
            <w:noProof/>
            <w:sz w:val="22"/>
          </w:rPr>
          <w:t>14</w:t>
        </w:r>
        <w:r w:rsidRPr="00A71801">
          <w:rPr>
            <w:noProof/>
            <w:sz w:val="22"/>
          </w:rPr>
          <w:fldChar w:fldCharType="end"/>
        </w:r>
      </w:p>
    </w:sdtContent>
  </w:sdt>
  <w:p w:rsidR="00695890" w:rsidRDefault="006958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90" w:rsidRDefault="00695890" w:rsidP="00063AD2">
    <w:pPr>
      <w:pStyle w:val="Footer"/>
      <w:tabs>
        <w:tab w:val="left" w:pos="1740"/>
        <w:tab w:val="center" w:pos="6660"/>
      </w:tabs>
    </w:pPr>
    <w:r>
      <w:tab/>
    </w:r>
    <w:r>
      <w:tab/>
    </w:r>
  </w:p>
  <w:p w:rsidR="00695890" w:rsidRDefault="00695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A23" w:rsidRDefault="00A55A23" w:rsidP="008F536D">
      <w:r>
        <w:separator/>
      </w:r>
    </w:p>
  </w:footnote>
  <w:footnote w:type="continuationSeparator" w:id="0">
    <w:p w:rsidR="00A55A23" w:rsidRDefault="00A55A23" w:rsidP="008F536D">
      <w:r>
        <w:continuationSeparator/>
      </w:r>
    </w:p>
  </w:footnote>
  <w:footnote w:id="1">
    <w:p w:rsidR="00695890" w:rsidRDefault="00695890" w:rsidP="004B5FB8">
      <w:pPr>
        <w:pStyle w:val="FootnoteText"/>
      </w:pPr>
      <w:r>
        <w:rPr>
          <w:rStyle w:val="FootnoteReference"/>
        </w:rPr>
        <w:footnoteRef/>
      </w:r>
      <w:r>
        <w:t xml:space="preserve"> No landings were reported north of Virginia.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7DE"/>
    <w:multiLevelType w:val="hybridMultilevel"/>
    <w:tmpl w:val="0544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3633B4"/>
    <w:multiLevelType w:val="hybridMultilevel"/>
    <w:tmpl w:val="B9E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84ED9"/>
    <w:multiLevelType w:val="hybridMultilevel"/>
    <w:tmpl w:val="2A64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53997"/>
    <w:multiLevelType w:val="hybridMultilevel"/>
    <w:tmpl w:val="221C0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8E03E7"/>
    <w:multiLevelType w:val="hybridMultilevel"/>
    <w:tmpl w:val="EDE861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536B3"/>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E7BD2"/>
    <w:multiLevelType w:val="hybridMultilevel"/>
    <w:tmpl w:val="E182B466"/>
    <w:lvl w:ilvl="0" w:tplc="FE00D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D74FD"/>
    <w:multiLevelType w:val="hybridMultilevel"/>
    <w:tmpl w:val="A62EE68A"/>
    <w:lvl w:ilvl="0" w:tplc="356CF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4776C"/>
    <w:multiLevelType w:val="hybridMultilevel"/>
    <w:tmpl w:val="713A3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96D11"/>
    <w:multiLevelType w:val="hybridMultilevel"/>
    <w:tmpl w:val="B79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A433C"/>
    <w:multiLevelType w:val="hybridMultilevel"/>
    <w:tmpl w:val="28A4A0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2D0CF5"/>
    <w:multiLevelType w:val="hybridMultilevel"/>
    <w:tmpl w:val="7A080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14DC0"/>
    <w:multiLevelType w:val="hybridMultilevel"/>
    <w:tmpl w:val="FED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C5BCA"/>
    <w:multiLevelType w:val="hybridMultilevel"/>
    <w:tmpl w:val="E042C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51891"/>
    <w:multiLevelType w:val="hybridMultilevel"/>
    <w:tmpl w:val="2AB235B0"/>
    <w:lvl w:ilvl="0" w:tplc="9EA0F7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E2589E"/>
    <w:multiLevelType w:val="hybridMultilevel"/>
    <w:tmpl w:val="D3389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84FC4"/>
    <w:multiLevelType w:val="hybridMultilevel"/>
    <w:tmpl w:val="B3C62B5E"/>
    <w:lvl w:ilvl="0" w:tplc="EB9E91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0254"/>
    <w:multiLevelType w:val="hybridMultilevel"/>
    <w:tmpl w:val="FD9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3288E"/>
    <w:multiLevelType w:val="hybridMultilevel"/>
    <w:tmpl w:val="386AB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C73139"/>
    <w:multiLevelType w:val="hybridMultilevel"/>
    <w:tmpl w:val="3B908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F74F8B0">
      <w:numFmt w:val="bullet"/>
      <w:lvlText w:val="-"/>
      <w:lvlJc w:val="left"/>
      <w:pPr>
        <w:ind w:left="2160" w:hanging="360"/>
      </w:pPr>
      <w:rPr>
        <w:rFonts w:ascii="Times New Roman" w:eastAsia="Calibri"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67E20"/>
    <w:multiLevelType w:val="hybridMultilevel"/>
    <w:tmpl w:val="8A3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37702"/>
    <w:multiLevelType w:val="hybridMultilevel"/>
    <w:tmpl w:val="D032CAD6"/>
    <w:lvl w:ilvl="0" w:tplc="4614F93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614F93C">
      <w:start w:val="15"/>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9211B"/>
    <w:multiLevelType w:val="hybridMultilevel"/>
    <w:tmpl w:val="7806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915F4"/>
    <w:multiLevelType w:val="hybridMultilevel"/>
    <w:tmpl w:val="F558FCD4"/>
    <w:lvl w:ilvl="0" w:tplc="EAAA2AC2">
      <w:numFmt w:val="bullet"/>
      <w:lvlText w:val="-"/>
      <w:lvlJc w:val="left"/>
      <w:pPr>
        <w:ind w:left="450" w:hanging="360"/>
      </w:pPr>
      <w:rPr>
        <w:rFonts w:ascii="Cambria" w:eastAsiaTheme="minorHAnsi" w:hAnsi="Cambria"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7B4651C"/>
    <w:multiLevelType w:val="hybridMultilevel"/>
    <w:tmpl w:val="4F562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959B1"/>
    <w:multiLevelType w:val="hybridMultilevel"/>
    <w:tmpl w:val="555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5445B"/>
    <w:multiLevelType w:val="hybridMultilevel"/>
    <w:tmpl w:val="174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8F1E45"/>
    <w:multiLevelType w:val="hybridMultilevel"/>
    <w:tmpl w:val="E00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44A12"/>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ED61AD"/>
    <w:multiLevelType w:val="hybridMultilevel"/>
    <w:tmpl w:val="C5B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1828FE"/>
    <w:multiLevelType w:val="hybridMultilevel"/>
    <w:tmpl w:val="BF2CA5F8"/>
    <w:lvl w:ilvl="0" w:tplc="61C2BEC6">
      <w:numFmt w:val="bullet"/>
      <w:lvlText w:val="-"/>
      <w:lvlJc w:val="left"/>
      <w:pPr>
        <w:ind w:left="2880" w:hanging="360"/>
      </w:pPr>
      <w:rPr>
        <w:rFonts w:ascii="Times New Roman" w:eastAsia="Arial Unicode MS"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8D1477F"/>
    <w:multiLevelType w:val="hybridMultilevel"/>
    <w:tmpl w:val="4C98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87B1B"/>
    <w:multiLevelType w:val="hybridMultilevel"/>
    <w:tmpl w:val="270424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556F3"/>
    <w:multiLevelType w:val="hybridMultilevel"/>
    <w:tmpl w:val="F552E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B6AB5"/>
    <w:multiLevelType w:val="hybridMultilevel"/>
    <w:tmpl w:val="504C0C6C"/>
    <w:lvl w:ilvl="0" w:tplc="04090001">
      <w:start w:val="1"/>
      <w:numFmt w:val="bullet"/>
      <w:lvlText w:val=""/>
      <w:lvlJc w:val="left"/>
      <w:pPr>
        <w:ind w:left="720" w:hanging="360"/>
      </w:pPr>
      <w:rPr>
        <w:rFonts w:ascii="Symbol" w:hAnsi="Symbol" w:hint="default"/>
      </w:rPr>
    </w:lvl>
    <w:lvl w:ilvl="1" w:tplc="EB9E915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2"/>
  </w:num>
  <w:num w:numId="4">
    <w:abstractNumId w:val="3"/>
  </w:num>
  <w:num w:numId="5">
    <w:abstractNumId w:val="4"/>
  </w:num>
  <w:num w:numId="6">
    <w:abstractNumId w:val="0"/>
  </w:num>
  <w:num w:numId="7">
    <w:abstractNumId w:val="21"/>
  </w:num>
  <w:num w:numId="8">
    <w:abstractNumId w:val="32"/>
  </w:num>
  <w:num w:numId="9">
    <w:abstractNumId w:val="33"/>
  </w:num>
  <w:num w:numId="10">
    <w:abstractNumId w:val="11"/>
  </w:num>
  <w:num w:numId="11">
    <w:abstractNumId w:val="30"/>
  </w:num>
  <w:num w:numId="12">
    <w:abstractNumId w:val="20"/>
  </w:num>
  <w:num w:numId="13">
    <w:abstractNumId w:val="29"/>
  </w:num>
  <w:num w:numId="14">
    <w:abstractNumId w:val="22"/>
  </w:num>
  <w:num w:numId="15">
    <w:abstractNumId w:val="6"/>
  </w:num>
  <w:num w:numId="16">
    <w:abstractNumId w:val="27"/>
  </w:num>
  <w:num w:numId="17">
    <w:abstractNumId w:val="19"/>
  </w:num>
  <w:num w:numId="18">
    <w:abstractNumId w:val="1"/>
  </w:num>
  <w:num w:numId="19">
    <w:abstractNumId w:val="7"/>
  </w:num>
  <w:num w:numId="20">
    <w:abstractNumId w:val="17"/>
  </w:num>
  <w:num w:numId="21">
    <w:abstractNumId w:val="2"/>
  </w:num>
  <w:num w:numId="22">
    <w:abstractNumId w:val="15"/>
  </w:num>
  <w:num w:numId="23">
    <w:abstractNumId w:val="31"/>
  </w:num>
  <w:num w:numId="24">
    <w:abstractNumId w:val="5"/>
  </w:num>
  <w:num w:numId="25">
    <w:abstractNumId w:val="28"/>
  </w:num>
  <w:num w:numId="26">
    <w:abstractNumId w:val="9"/>
  </w:num>
  <w:num w:numId="27">
    <w:abstractNumId w:val="34"/>
  </w:num>
  <w:num w:numId="28">
    <w:abstractNumId w:val="8"/>
  </w:num>
  <w:num w:numId="29">
    <w:abstractNumId w:val="24"/>
  </w:num>
  <w:num w:numId="30">
    <w:abstractNumId w:val="23"/>
  </w:num>
  <w:num w:numId="31">
    <w:abstractNumId w:val="13"/>
  </w:num>
  <w:num w:numId="32">
    <w:abstractNumId w:val="18"/>
  </w:num>
  <w:num w:numId="33">
    <w:abstractNumId w:val="10"/>
  </w:num>
  <w:num w:numId="34">
    <w:abstractNumId w:val="16"/>
  </w:num>
  <w:num w:numId="35">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B375C"/>
    <w:rsid w:val="000054EA"/>
    <w:rsid w:val="000067D3"/>
    <w:rsid w:val="00011669"/>
    <w:rsid w:val="00012A37"/>
    <w:rsid w:val="00017400"/>
    <w:rsid w:val="000177A7"/>
    <w:rsid w:val="00024E75"/>
    <w:rsid w:val="0002557F"/>
    <w:rsid w:val="000311E4"/>
    <w:rsid w:val="0003169E"/>
    <w:rsid w:val="00037F40"/>
    <w:rsid w:val="00040AED"/>
    <w:rsid w:val="0004130B"/>
    <w:rsid w:val="0004163C"/>
    <w:rsid w:val="000449DD"/>
    <w:rsid w:val="00047AA4"/>
    <w:rsid w:val="0005409C"/>
    <w:rsid w:val="00056B29"/>
    <w:rsid w:val="00060C15"/>
    <w:rsid w:val="00063AD2"/>
    <w:rsid w:val="00064D48"/>
    <w:rsid w:val="0007685E"/>
    <w:rsid w:val="00076D9B"/>
    <w:rsid w:val="000773A8"/>
    <w:rsid w:val="00083C99"/>
    <w:rsid w:val="0009100F"/>
    <w:rsid w:val="00092E36"/>
    <w:rsid w:val="00095F86"/>
    <w:rsid w:val="000960A3"/>
    <w:rsid w:val="00097F67"/>
    <w:rsid w:val="000A27CB"/>
    <w:rsid w:val="000A2B6D"/>
    <w:rsid w:val="000A69ED"/>
    <w:rsid w:val="000B21C0"/>
    <w:rsid w:val="000B5D68"/>
    <w:rsid w:val="000C1FC7"/>
    <w:rsid w:val="000D229D"/>
    <w:rsid w:val="000D4CFC"/>
    <w:rsid w:val="000D64AE"/>
    <w:rsid w:val="000E7FBD"/>
    <w:rsid w:val="000F27B8"/>
    <w:rsid w:val="000F46DF"/>
    <w:rsid w:val="000F5BC1"/>
    <w:rsid w:val="000F74EC"/>
    <w:rsid w:val="001073EB"/>
    <w:rsid w:val="001102A2"/>
    <w:rsid w:val="00111B05"/>
    <w:rsid w:val="001264F8"/>
    <w:rsid w:val="00130FED"/>
    <w:rsid w:val="00132456"/>
    <w:rsid w:val="0013640C"/>
    <w:rsid w:val="00136641"/>
    <w:rsid w:val="001400EE"/>
    <w:rsid w:val="00144F66"/>
    <w:rsid w:val="00154BF6"/>
    <w:rsid w:val="0015561A"/>
    <w:rsid w:val="0015697B"/>
    <w:rsid w:val="00162CB7"/>
    <w:rsid w:val="00163C3B"/>
    <w:rsid w:val="00165FA3"/>
    <w:rsid w:val="001663C5"/>
    <w:rsid w:val="00175EA0"/>
    <w:rsid w:val="001766D5"/>
    <w:rsid w:val="00180CE0"/>
    <w:rsid w:val="001810AA"/>
    <w:rsid w:val="001865EF"/>
    <w:rsid w:val="001934C3"/>
    <w:rsid w:val="001A06DC"/>
    <w:rsid w:val="001A0E00"/>
    <w:rsid w:val="001A10E2"/>
    <w:rsid w:val="001A1E1F"/>
    <w:rsid w:val="001A4CA6"/>
    <w:rsid w:val="001B3DEA"/>
    <w:rsid w:val="001B60FC"/>
    <w:rsid w:val="001C392D"/>
    <w:rsid w:val="001C4706"/>
    <w:rsid w:val="001D06CC"/>
    <w:rsid w:val="001D241F"/>
    <w:rsid w:val="001D2BF9"/>
    <w:rsid w:val="001D3771"/>
    <w:rsid w:val="001D4D06"/>
    <w:rsid w:val="001D5E9A"/>
    <w:rsid w:val="001D77F9"/>
    <w:rsid w:val="001E3FB6"/>
    <w:rsid w:val="001E4DF1"/>
    <w:rsid w:val="001E52CF"/>
    <w:rsid w:val="001F3E5F"/>
    <w:rsid w:val="002117CE"/>
    <w:rsid w:val="002257F0"/>
    <w:rsid w:val="00225EF1"/>
    <w:rsid w:val="002406DE"/>
    <w:rsid w:val="00240D64"/>
    <w:rsid w:val="00243497"/>
    <w:rsid w:val="002449AF"/>
    <w:rsid w:val="0025156C"/>
    <w:rsid w:val="00252372"/>
    <w:rsid w:val="002523C1"/>
    <w:rsid w:val="00254B4A"/>
    <w:rsid w:val="00271670"/>
    <w:rsid w:val="002766DE"/>
    <w:rsid w:val="0028288B"/>
    <w:rsid w:val="0028453E"/>
    <w:rsid w:val="00290851"/>
    <w:rsid w:val="00294AAF"/>
    <w:rsid w:val="00294BEE"/>
    <w:rsid w:val="00296E23"/>
    <w:rsid w:val="00297E3B"/>
    <w:rsid w:val="002A34FC"/>
    <w:rsid w:val="002B0E9C"/>
    <w:rsid w:val="002B1382"/>
    <w:rsid w:val="002B1C4F"/>
    <w:rsid w:val="002B3672"/>
    <w:rsid w:val="002B416F"/>
    <w:rsid w:val="002B4D52"/>
    <w:rsid w:val="002B6BEA"/>
    <w:rsid w:val="002C3F68"/>
    <w:rsid w:val="002C557D"/>
    <w:rsid w:val="002C75CA"/>
    <w:rsid w:val="002D07A4"/>
    <w:rsid w:val="002E2276"/>
    <w:rsid w:val="002E5D10"/>
    <w:rsid w:val="002E691A"/>
    <w:rsid w:val="002E77CA"/>
    <w:rsid w:val="002E7910"/>
    <w:rsid w:val="002F2803"/>
    <w:rsid w:val="002F7D82"/>
    <w:rsid w:val="00301C04"/>
    <w:rsid w:val="00303078"/>
    <w:rsid w:val="00305006"/>
    <w:rsid w:val="0030629B"/>
    <w:rsid w:val="003143DD"/>
    <w:rsid w:val="003148B6"/>
    <w:rsid w:val="00331215"/>
    <w:rsid w:val="00333F0E"/>
    <w:rsid w:val="003370BF"/>
    <w:rsid w:val="00341D5E"/>
    <w:rsid w:val="003540CC"/>
    <w:rsid w:val="003552AD"/>
    <w:rsid w:val="0035659E"/>
    <w:rsid w:val="00361D14"/>
    <w:rsid w:val="00362273"/>
    <w:rsid w:val="00362579"/>
    <w:rsid w:val="003677DB"/>
    <w:rsid w:val="003710A4"/>
    <w:rsid w:val="003712D2"/>
    <w:rsid w:val="003737F3"/>
    <w:rsid w:val="0037711F"/>
    <w:rsid w:val="003777C3"/>
    <w:rsid w:val="00381E62"/>
    <w:rsid w:val="00385407"/>
    <w:rsid w:val="00386424"/>
    <w:rsid w:val="00392BD6"/>
    <w:rsid w:val="00393E33"/>
    <w:rsid w:val="00394942"/>
    <w:rsid w:val="00395B7B"/>
    <w:rsid w:val="003A20D2"/>
    <w:rsid w:val="003C1B8F"/>
    <w:rsid w:val="003C1FD2"/>
    <w:rsid w:val="003C4F73"/>
    <w:rsid w:val="003C55AF"/>
    <w:rsid w:val="003D06FA"/>
    <w:rsid w:val="003D26DC"/>
    <w:rsid w:val="003D46E2"/>
    <w:rsid w:val="003D5E59"/>
    <w:rsid w:val="003E272C"/>
    <w:rsid w:val="003E410C"/>
    <w:rsid w:val="003E6F11"/>
    <w:rsid w:val="003F1421"/>
    <w:rsid w:val="003F1BDA"/>
    <w:rsid w:val="003F43AA"/>
    <w:rsid w:val="003F4A2F"/>
    <w:rsid w:val="00407013"/>
    <w:rsid w:val="0040775D"/>
    <w:rsid w:val="0041111F"/>
    <w:rsid w:val="00411589"/>
    <w:rsid w:val="00415D99"/>
    <w:rsid w:val="0041651C"/>
    <w:rsid w:val="00416B6A"/>
    <w:rsid w:val="00416DDE"/>
    <w:rsid w:val="0042145C"/>
    <w:rsid w:val="00422DEB"/>
    <w:rsid w:val="00432C3E"/>
    <w:rsid w:val="00433E35"/>
    <w:rsid w:val="00435D9E"/>
    <w:rsid w:val="0044545E"/>
    <w:rsid w:val="00451AD4"/>
    <w:rsid w:val="00460E52"/>
    <w:rsid w:val="00465A99"/>
    <w:rsid w:val="004728CE"/>
    <w:rsid w:val="00480BFA"/>
    <w:rsid w:val="00485514"/>
    <w:rsid w:val="00487007"/>
    <w:rsid w:val="004A0AC1"/>
    <w:rsid w:val="004A3CCE"/>
    <w:rsid w:val="004B235C"/>
    <w:rsid w:val="004B3566"/>
    <w:rsid w:val="004B3EEA"/>
    <w:rsid w:val="004B5FB8"/>
    <w:rsid w:val="004C04EE"/>
    <w:rsid w:val="004C2258"/>
    <w:rsid w:val="004E2096"/>
    <w:rsid w:val="004E20FA"/>
    <w:rsid w:val="004E45B5"/>
    <w:rsid w:val="004E75B4"/>
    <w:rsid w:val="004F36E4"/>
    <w:rsid w:val="004F4338"/>
    <w:rsid w:val="004F55C8"/>
    <w:rsid w:val="004F6A22"/>
    <w:rsid w:val="004F741B"/>
    <w:rsid w:val="00505222"/>
    <w:rsid w:val="00505D55"/>
    <w:rsid w:val="005103FB"/>
    <w:rsid w:val="005243C8"/>
    <w:rsid w:val="00525037"/>
    <w:rsid w:val="005325AB"/>
    <w:rsid w:val="005367AE"/>
    <w:rsid w:val="0054254B"/>
    <w:rsid w:val="00546F44"/>
    <w:rsid w:val="0054776C"/>
    <w:rsid w:val="00547CC5"/>
    <w:rsid w:val="00551A41"/>
    <w:rsid w:val="00560640"/>
    <w:rsid w:val="00561902"/>
    <w:rsid w:val="00564FE9"/>
    <w:rsid w:val="0056594D"/>
    <w:rsid w:val="00565F47"/>
    <w:rsid w:val="00570D7C"/>
    <w:rsid w:val="005719CE"/>
    <w:rsid w:val="00571CDE"/>
    <w:rsid w:val="00586C2A"/>
    <w:rsid w:val="00587F72"/>
    <w:rsid w:val="00593ABA"/>
    <w:rsid w:val="00594BB5"/>
    <w:rsid w:val="005969EA"/>
    <w:rsid w:val="00596AD0"/>
    <w:rsid w:val="00596F6F"/>
    <w:rsid w:val="0059707C"/>
    <w:rsid w:val="005A01DF"/>
    <w:rsid w:val="005A17BA"/>
    <w:rsid w:val="005B18F3"/>
    <w:rsid w:val="005B28F6"/>
    <w:rsid w:val="005B3338"/>
    <w:rsid w:val="005B3AE3"/>
    <w:rsid w:val="005B6DC3"/>
    <w:rsid w:val="005C3928"/>
    <w:rsid w:val="005C45A7"/>
    <w:rsid w:val="00602EB3"/>
    <w:rsid w:val="0060605B"/>
    <w:rsid w:val="00612D5E"/>
    <w:rsid w:val="00613A43"/>
    <w:rsid w:val="0062052A"/>
    <w:rsid w:val="00620EAB"/>
    <w:rsid w:val="00623F37"/>
    <w:rsid w:val="006306C6"/>
    <w:rsid w:val="00631A29"/>
    <w:rsid w:val="00632293"/>
    <w:rsid w:val="00633F6A"/>
    <w:rsid w:val="006353F2"/>
    <w:rsid w:val="00640841"/>
    <w:rsid w:val="006437F2"/>
    <w:rsid w:val="00643F67"/>
    <w:rsid w:val="006502C0"/>
    <w:rsid w:val="00652472"/>
    <w:rsid w:val="00652880"/>
    <w:rsid w:val="00654532"/>
    <w:rsid w:val="00655B29"/>
    <w:rsid w:val="006560E5"/>
    <w:rsid w:val="006651ED"/>
    <w:rsid w:val="0067044B"/>
    <w:rsid w:val="00670E1B"/>
    <w:rsid w:val="0067437B"/>
    <w:rsid w:val="00675D09"/>
    <w:rsid w:val="006805E6"/>
    <w:rsid w:val="006819B0"/>
    <w:rsid w:val="00695890"/>
    <w:rsid w:val="00696D71"/>
    <w:rsid w:val="006A3C3C"/>
    <w:rsid w:val="006A72D5"/>
    <w:rsid w:val="006B0505"/>
    <w:rsid w:val="006B72E3"/>
    <w:rsid w:val="006C4854"/>
    <w:rsid w:val="006C5766"/>
    <w:rsid w:val="006C6A83"/>
    <w:rsid w:val="006C74A3"/>
    <w:rsid w:val="006D42DE"/>
    <w:rsid w:val="006D48FC"/>
    <w:rsid w:val="006D7FA0"/>
    <w:rsid w:val="006E4101"/>
    <w:rsid w:val="006F02FF"/>
    <w:rsid w:val="006F4064"/>
    <w:rsid w:val="006F5BF1"/>
    <w:rsid w:val="006F5E4D"/>
    <w:rsid w:val="00701A9D"/>
    <w:rsid w:val="00702BB9"/>
    <w:rsid w:val="00703BF9"/>
    <w:rsid w:val="00710728"/>
    <w:rsid w:val="00713511"/>
    <w:rsid w:val="007176A5"/>
    <w:rsid w:val="00730358"/>
    <w:rsid w:val="007310E8"/>
    <w:rsid w:val="0073347A"/>
    <w:rsid w:val="00733D9A"/>
    <w:rsid w:val="00734083"/>
    <w:rsid w:val="00734E9A"/>
    <w:rsid w:val="0074008F"/>
    <w:rsid w:val="007510EB"/>
    <w:rsid w:val="00751978"/>
    <w:rsid w:val="00753CD2"/>
    <w:rsid w:val="0075770D"/>
    <w:rsid w:val="007606B5"/>
    <w:rsid w:val="00765D39"/>
    <w:rsid w:val="00782DEE"/>
    <w:rsid w:val="007870E4"/>
    <w:rsid w:val="007875AA"/>
    <w:rsid w:val="007917A5"/>
    <w:rsid w:val="00792B83"/>
    <w:rsid w:val="00796933"/>
    <w:rsid w:val="007977EB"/>
    <w:rsid w:val="007A0020"/>
    <w:rsid w:val="007A09A6"/>
    <w:rsid w:val="007A2EC0"/>
    <w:rsid w:val="007A3016"/>
    <w:rsid w:val="007A3C78"/>
    <w:rsid w:val="007A5E6E"/>
    <w:rsid w:val="007A5FFD"/>
    <w:rsid w:val="007B0840"/>
    <w:rsid w:val="007B1D29"/>
    <w:rsid w:val="007B1F8E"/>
    <w:rsid w:val="007B214D"/>
    <w:rsid w:val="007B64D6"/>
    <w:rsid w:val="007B6D3C"/>
    <w:rsid w:val="007B70D2"/>
    <w:rsid w:val="007C0AA9"/>
    <w:rsid w:val="007C34E3"/>
    <w:rsid w:val="007C361E"/>
    <w:rsid w:val="007D3739"/>
    <w:rsid w:val="007D4AC7"/>
    <w:rsid w:val="007E0D99"/>
    <w:rsid w:val="007E3E11"/>
    <w:rsid w:val="007F284D"/>
    <w:rsid w:val="007F310F"/>
    <w:rsid w:val="007F3B71"/>
    <w:rsid w:val="00805459"/>
    <w:rsid w:val="00807292"/>
    <w:rsid w:val="00807F9B"/>
    <w:rsid w:val="00811163"/>
    <w:rsid w:val="00811441"/>
    <w:rsid w:val="0081321D"/>
    <w:rsid w:val="008166A2"/>
    <w:rsid w:val="0083015D"/>
    <w:rsid w:val="0083200A"/>
    <w:rsid w:val="008351A2"/>
    <w:rsid w:val="00846459"/>
    <w:rsid w:val="00855500"/>
    <w:rsid w:val="00855961"/>
    <w:rsid w:val="00856B7A"/>
    <w:rsid w:val="008609E0"/>
    <w:rsid w:val="00864F04"/>
    <w:rsid w:val="008760B0"/>
    <w:rsid w:val="00877D06"/>
    <w:rsid w:val="00887D99"/>
    <w:rsid w:val="00892596"/>
    <w:rsid w:val="00896375"/>
    <w:rsid w:val="008A46C2"/>
    <w:rsid w:val="008A542A"/>
    <w:rsid w:val="008B41BB"/>
    <w:rsid w:val="008B6243"/>
    <w:rsid w:val="008C23FB"/>
    <w:rsid w:val="008C7C5D"/>
    <w:rsid w:val="008D4E30"/>
    <w:rsid w:val="008D5815"/>
    <w:rsid w:val="008D7C10"/>
    <w:rsid w:val="008E06AE"/>
    <w:rsid w:val="008E502D"/>
    <w:rsid w:val="008F10BF"/>
    <w:rsid w:val="008F3B21"/>
    <w:rsid w:val="008F4912"/>
    <w:rsid w:val="008F536D"/>
    <w:rsid w:val="008F6C2E"/>
    <w:rsid w:val="00905F56"/>
    <w:rsid w:val="00907B94"/>
    <w:rsid w:val="00910D52"/>
    <w:rsid w:val="009206CF"/>
    <w:rsid w:val="00921520"/>
    <w:rsid w:val="00924432"/>
    <w:rsid w:val="00930995"/>
    <w:rsid w:val="0093521E"/>
    <w:rsid w:val="009425A7"/>
    <w:rsid w:val="00943C59"/>
    <w:rsid w:val="009477C6"/>
    <w:rsid w:val="009536CB"/>
    <w:rsid w:val="009603A9"/>
    <w:rsid w:val="009619E4"/>
    <w:rsid w:val="00962567"/>
    <w:rsid w:val="009649C1"/>
    <w:rsid w:val="00970A75"/>
    <w:rsid w:val="00980677"/>
    <w:rsid w:val="00981249"/>
    <w:rsid w:val="0098135D"/>
    <w:rsid w:val="00982477"/>
    <w:rsid w:val="009834CD"/>
    <w:rsid w:val="009855D5"/>
    <w:rsid w:val="00985705"/>
    <w:rsid w:val="00987767"/>
    <w:rsid w:val="009877B4"/>
    <w:rsid w:val="00991542"/>
    <w:rsid w:val="009B6C2A"/>
    <w:rsid w:val="009B6EAE"/>
    <w:rsid w:val="009C0A34"/>
    <w:rsid w:val="009C2289"/>
    <w:rsid w:val="009C3E39"/>
    <w:rsid w:val="009C6284"/>
    <w:rsid w:val="009D2EEF"/>
    <w:rsid w:val="009D47C3"/>
    <w:rsid w:val="009E1234"/>
    <w:rsid w:val="009E1B77"/>
    <w:rsid w:val="009F0E4A"/>
    <w:rsid w:val="009F3FCB"/>
    <w:rsid w:val="009F6CFF"/>
    <w:rsid w:val="00A00E85"/>
    <w:rsid w:val="00A02BB0"/>
    <w:rsid w:val="00A11DA4"/>
    <w:rsid w:val="00A11F46"/>
    <w:rsid w:val="00A20451"/>
    <w:rsid w:val="00A27302"/>
    <w:rsid w:val="00A37D10"/>
    <w:rsid w:val="00A453B9"/>
    <w:rsid w:val="00A535D2"/>
    <w:rsid w:val="00A55A23"/>
    <w:rsid w:val="00A65C72"/>
    <w:rsid w:val="00A70964"/>
    <w:rsid w:val="00A70D71"/>
    <w:rsid w:val="00A7414C"/>
    <w:rsid w:val="00A74DA5"/>
    <w:rsid w:val="00A7522D"/>
    <w:rsid w:val="00A800B7"/>
    <w:rsid w:val="00A80E65"/>
    <w:rsid w:val="00A81A5B"/>
    <w:rsid w:val="00A827EC"/>
    <w:rsid w:val="00A84123"/>
    <w:rsid w:val="00A931F8"/>
    <w:rsid w:val="00A9331C"/>
    <w:rsid w:val="00AA280E"/>
    <w:rsid w:val="00AA2FCB"/>
    <w:rsid w:val="00AA5907"/>
    <w:rsid w:val="00AA71BF"/>
    <w:rsid w:val="00AA71C6"/>
    <w:rsid w:val="00AB1F23"/>
    <w:rsid w:val="00AC1002"/>
    <w:rsid w:val="00AC3005"/>
    <w:rsid w:val="00AC7B96"/>
    <w:rsid w:val="00AD0AFE"/>
    <w:rsid w:val="00AD158E"/>
    <w:rsid w:val="00AD72A3"/>
    <w:rsid w:val="00AE1B6D"/>
    <w:rsid w:val="00AE2D42"/>
    <w:rsid w:val="00B009C9"/>
    <w:rsid w:val="00B04CD3"/>
    <w:rsid w:val="00B07DD6"/>
    <w:rsid w:val="00B11284"/>
    <w:rsid w:val="00B11897"/>
    <w:rsid w:val="00B1400A"/>
    <w:rsid w:val="00B16703"/>
    <w:rsid w:val="00B25459"/>
    <w:rsid w:val="00B26890"/>
    <w:rsid w:val="00B27355"/>
    <w:rsid w:val="00B31D04"/>
    <w:rsid w:val="00B539BE"/>
    <w:rsid w:val="00B54DBB"/>
    <w:rsid w:val="00B60782"/>
    <w:rsid w:val="00B60C94"/>
    <w:rsid w:val="00B61D48"/>
    <w:rsid w:val="00B62515"/>
    <w:rsid w:val="00B6333C"/>
    <w:rsid w:val="00B64D4D"/>
    <w:rsid w:val="00B66D33"/>
    <w:rsid w:val="00B73D55"/>
    <w:rsid w:val="00B73F0D"/>
    <w:rsid w:val="00B745C0"/>
    <w:rsid w:val="00B87F74"/>
    <w:rsid w:val="00B9121C"/>
    <w:rsid w:val="00B92F32"/>
    <w:rsid w:val="00BA1C8A"/>
    <w:rsid w:val="00BA6D1B"/>
    <w:rsid w:val="00BA6FF6"/>
    <w:rsid w:val="00BA72FE"/>
    <w:rsid w:val="00BB3FDD"/>
    <w:rsid w:val="00BB5084"/>
    <w:rsid w:val="00BB6C87"/>
    <w:rsid w:val="00BB7E82"/>
    <w:rsid w:val="00BD0649"/>
    <w:rsid w:val="00BD6D8D"/>
    <w:rsid w:val="00BF4ECA"/>
    <w:rsid w:val="00C017C4"/>
    <w:rsid w:val="00C0693E"/>
    <w:rsid w:val="00C11FB8"/>
    <w:rsid w:val="00C13F08"/>
    <w:rsid w:val="00C16636"/>
    <w:rsid w:val="00C32AA0"/>
    <w:rsid w:val="00C40145"/>
    <w:rsid w:val="00C40361"/>
    <w:rsid w:val="00C40A5A"/>
    <w:rsid w:val="00C4197E"/>
    <w:rsid w:val="00C4421D"/>
    <w:rsid w:val="00C45391"/>
    <w:rsid w:val="00C472F6"/>
    <w:rsid w:val="00C505C0"/>
    <w:rsid w:val="00C51D57"/>
    <w:rsid w:val="00C54536"/>
    <w:rsid w:val="00C63285"/>
    <w:rsid w:val="00C63CF8"/>
    <w:rsid w:val="00C6544D"/>
    <w:rsid w:val="00C71C41"/>
    <w:rsid w:val="00C7325B"/>
    <w:rsid w:val="00C74B36"/>
    <w:rsid w:val="00C76185"/>
    <w:rsid w:val="00C80C2F"/>
    <w:rsid w:val="00C876FC"/>
    <w:rsid w:val="00C94D47"/>
    <w:rsid w:val="00C94F0F"/>
    <w:rsid w:val="00C973CF"/>
    <w:rsid w:val="00CA33F5"/>
    <w:rsid w:val="00CB0F7B"/>
    <w:rsid w:val="00CB43CB"/>
    <w:rsid w:val="00CB52A0"/>
    <w:rsid w:val="00CB61A9"/>
    <w:rsid w:val="00CB7733"/>
    <w:rsid w:val="00CC424C"/>
    <w:rsid w:val="00CD2DDD"/>
    <w:rsid w:val="00CE1875"/>
    <w:rsid w:val="00CE3334"/>
    <w:rsid w:val="00CF1D96"/>
    <w:rsid w:val="00CF2E57"/>
    <w:rsid w:val="00CF30E1"/>
    <w:rsid w:val="00CF349F"/>
    <w:rsid w:val="00CF6E73"/>
    <w:rsid w:val="00D005A6"/>
    <w:rsid w:val="00D07423"/>
    <w:rsid w:val="00D11AFE"/>
    <w:rsid w:val="00D131CD"/>
    <w:rsid w:val="00D2055F"/>
    <w:rsid w:val="00D260AF"/>
    <w:rsid w:val="00D31155"/>
    <w:rsid w:val="00D33FB4"/>
    <w:rsid w:val="00D4021C"/>
    <w:rsid w:val="00D45903"/>
    <w:rsid w:val="00D45A5E"/>
    <w:rsid w:val="00D51CAD"/>
    <w:rsid w:val="00D51D7D"/>
    <w:rsid w:val="00D554C7"/>
    <w:rsid w:val="00D55A4E"/>
    <w:rsid w:val="00D56C3F"/>
    <w:rsid w:val="00D73DAE"/>
    <w:rsid w:val="00D77BF2"/>
    <w:rsid w:val="00D81F7A"/>
    <w:rsid w:val="00D875EF"/>
    <w:rsid w:val="00D9272A"/>
    <w:rsid w:val="00D928DA"/>
    <w:rsid w:val="00D96299"/>
    <w:rsid w:val="00D9644E"/>
    <w:rsid w:val="00DA0817"/>
    <w:rsid w:val="00DA34F6"/>
    <w:rsid w:val="00DA54E0"/>
    <w:rsid w:val="00DA66CD"/>
    <w:rsid w:val="00DB375C"/>
    <w:rsid w:val="00DB68B5"/>
    <w:rsid w:val="00DC3324"/>
    <w:rsid w:val="00DC7C9D"/>
    <w:rsid w:val="00DD25C3"/>
    <w:rsid w:val="00DD32F2"/>
    <w:rsid w:val="00DE20B6"/>
    <w:rsid w:val="00DE2A43"/>
    <w:rsid w:val="00DE2E9F"/>
    <w:rsid w:val="00DE4CF9"/>
    <w:rsid w:val="00DE59E6"/>
    <w:rsid w:val="00DE6DBF"/>
    <w:rsid w:val="00DF1E33"/>
    <w:rsid w:val="00DF3642"/>
    <w:rsid w:val="00DF3C8D"/>
    <w:rsid w:val="00DF58A0"/>
    <w:rsid w:val="00DF5FF6"/>
    <w:rsid w:val="00DF64C7"/>
    <w:rsid w:val="00E00BD0"/>
    <w:rsid w:val="00E01FAB"/>
    <w:rsid w:val="00E0471C"/>
    <w:rsid w:val="00E06803"/>
    <w:rsid w:val="00E11494"/>
    <w:rsid w:val="00E13098"/>
    <w:rsid w:val="00E15BB0"/>
    <w:rsid w:val="00E16FFE"/>
    <w:rsid w:val="00E2162A"/>
    <w:rsid w:val="00E227D8"/>
    <w:rsid w:val="00E25FAB"/>
    <w:rsid w:val="00E2722E"/>
    <w:rsid w:val="00E27C33"/>
    <w:rsid w:val="00E30A09"/>
    <w:rsid w:val="00E53B9C"/>
    <w:rsid w:val="00E56158"/>
    <w:rsid w:val="00E63567"/>
    <w:rsid w:val="00E6479E"/>
    <w:rsid w:val="00E671EB"/>
    <w:rsid w:val="00E74EEB"/>
    <w:rsid w:val="00E83EDB"/>
    <w:rsid w:val="00E86ED0"/>
    <w:rsid w:val="00E9639D"/>
    <w:rsid w:val="00E96A02"/>
    <w:rsid w:val="00E97399"/>
    <w:rsid w:val="00EA21CA"/>
    <w:rsid w:val="00EB4AAC"/>
    <w:rsid w:val="00EC7424"/>
    <w:rsid w:val="00ED722B"/>
    <w:rsid w:val="00EE0FF7"/>
    <w:rsid w:val="00EE4683"/>
    <w:rsid w:val="00EF08FF"/>
    <w:rsid w:val="00EF2A38"/>
    <w:rsid w:val="00EF5368"/>
    <w:rsid w:val="00EF6B4E"/>
    <w:rsid w:val="00EF748C"/>
    <w:rsid w:val="00F01B0F"/>
    <w:rsid w:val="00F02737"/>
    <w:rsid w:val="00F02A23"/>
    <w:rsid w:val="00F03E3F"/>
    <w:rsid w:val="00F1035A"/>
    <w:rsid w:val="00F11CCF"/>
    <w:rsid w:val="00F12920"/>
    <w:rsid w:val="00F150EE"/>
    <w:rsid w:val="00F24D40"/>
    <w:rsid w:val="00F25120"/>
    <w:rsid w:val="00F26033"/>
    <w:rsid w:val="00F317AF"/>
    <w:rsid w:val="00F33751"/>
    <w:rsid w:val="00F343B9"/>
    <w:rsid w:val="00F353F3"/>
    <w:rsid w:val="00F35A4D"/>
    <w:rsid w:val="00F36213"/>
    <w:rsid w:val="00F46FAB"/>
    <w:rsid w:val="00F47523"/>
    <w:rsid w:val="00F50D2E"/>
    <w:rsid w:val="00F5252F"/>
    <w:rsid w:val="00F70102"/>
    <w:rsid w:val="00F71B8F"/>
    <w:rsid w:val="00F74CE2"/>
    <w:rsid w:val="00F8319B"/>
    <w:rsid w:val="00F83800"/>
    <w:rsid w:val="00F87485"/>
    <w:rsid w:val="00F876ED"/>
    <w:rsid w:val="00F90BA1"/>
    <w:rsid w:val="00F94C97"/>
    <w:rsid w:val="00FA03B4"/>
    <w:rsid w:val="00FA2FAB"/>
    <w:rsid w:val="00FA32EB"/>
    <w:rsid w:val="00FB096A"/>
    <w:rsid w:val="00FB16AF"/>
    <w:rsid w:val="00FB61D6"/>
    <w:rsid w:val="00FC3356"/>
    <w:rsid w:val="00FC4A4B"/>
    <w:rsid w:val="00FC6E69"/>
    <w:rsid w:val="00FD0A83"/>
    <w:rsid w:val="00FD17CE"/>
    <w:rsid w:val="00FD3A1D"/>
    <w:rsid w:val="00FD4AB0"/>
    <w:rsid w:val="00FE4327"/>
    <w:rsid w:val="00FF33A5"/>
    <w:rsid w:val="00FF6745"/>
    <w:rsid w:val="00FF6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B"/>
    <w:rPr>
      <w:rFonts w:ascii="Times New Roman" w:hAnsi="Times New Roman"/>
      <w:sz w:val="24"/>
      <w:szCs w:val="22"/>
    </w:rPr>
  </w:style>
  <w:style w:type="paragraph" w:styleId="Heading1">
    <w:name w:val="heading 1"/>
    <w:basedOn w:val="Normal"/>
    <w:next w:val="Normal"/>
    <w:link w:val="Heading1Char1"/>
    <w:qFormat/>
    <w:rsid w:val="00E83EDB"/>
    <w:pPr>
      <w:keepNext/>
      <w:spacing w:before="240" w:after="60"/>
      <w:outlineLvl w:val="0"/>
    </w:pPr>
    <w:rPr>
      <w:rFonts w:eastAsia="Times New Roman"/>
      <w:b/>
      <w:bCs/>
      <w:kern w:val="32"/>
      <w:sz w:val="28"/>
      <w:szCs w:val="32"/>
      <w:u w:val="single"/>
      <w:lang/>
    </w:rPr>
  </w:style>
  <w:style w:type="paragraph" w:styleId="Heading2">
    <w:name w:val="heading 2"/>
    <w:basedOn w:val="Normal"/>
    <w:next w:val="Normal"/>
    <w:link w:val="Heading2Char"/>
    <w:uiPriority w:val="9"/>
    <w:qFormat/>
    <w:rsid w:val="00E83EDB"/>
    <w:pPr>
      <w:keepNext/>
      <w:keepLines/>
      <w:spacing w:before="200"/>
      <w:outlineLvl w:val="1"/>
    </w:pPr>
    <w:rPr>
      <w:rFonts w:eastAsia="Times New Roman"/>
      <w:bCs/>
      <w:sz w:val="28"/>
      <w:szCs w:val="26"/>
    </w:rPr>
  </w:style>
  <w:style w:type="paragraph" w:styleId="Heading3">
    <w:name w:val="heading 3"/>
    <w:basedOn w:val="Normal"/>
    <w:next w:val="Normal"/>
    <w:link w:val="Heading3Char"/>
    <w:uiPriority w:val="9"/>
    <w:unhideWhenUsed/>
    <w:qFormat/>
    <w:rsid w:val="00CF30E1"/>
    <w:pPr>
      <w:keepNext/>
      <w:keepLines/>
      <w:spacing w:before="20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1E52CF"/>
    <w:rPr>
      <w:rFonts w:ascii="Times New Roman" w:eastAsia="Times New Roman" w:hAnsi="Times New Roman"/>
      <w:b/>
      <w:bCs/>
      <w:kern w:val="32"/>
      <w:sz w:val="28"/>
      <w:szCs w:val="32"/>
      <w:u w:val="single"/>
      <w:lang/>
    </w:rPr>
  </w:style>
  <w:style w:type="paragraph" w:styleId="BalloonText">
    <w:name w:val="Balloon Text"/>
    <w:basedOn w:val="Normal"/>
    <w:link w:val="BalloonTextChar"/>
    <w:uiPriority w:val="99"/>
    <w:semiHidden/>
    <w:unhideWhenUsed/>
    <w:rsid w:val="00C44D49"/>
    <w:rPr>
      <w:rFonts w:ascii="Tahoma" w:hAnsi="Tahoma" w:cs="Tahoma"/>
      <w:sz w:val="16"/>
      <w:szCs w:val="16"/>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ColorfulShading-Accent31">
    <w:name w:val="Colorful Shading - Accent 3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83EDB"/>
    <w:rPr>
      <w:rFonts w:ascii="Times New Roman" w:eastAsia="Times New Roman" w:hAnsi="Times New Roman"/>
      <w:bCs/>
      <w:sz w:val="28"/>
      <w:szCs w:val="26"/>
    </w:rPr>
  </w:style>
  <w:style w:type="paragraph" w:styleId="DocumentMap">
    <w:name w:val="Document Map"/>
    <w:basedOn w:val="Normal"/>
    <w:link w:val="DocumentMapChar"/>
    <w:uiPriority w:val="99"/>
    <w:semiHidden/>
    <w:unhideWhenUsed/>
    <w:rsid w:val="00591D20"/>
    <w:rPr>
      <w:rFonts w:ascii="Tahoma" w:hAnsi="Tahoma" w:cs="Tahoma"/>
      <w:sz w:val="16"/>
      <w:szCs w:val="16"/>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unhideWhenUsed/>
    <w:rsid w:val="00B44968"/>
    <w:rPr>
      <w:sz w:val="16"/>
      <w:szCs w:val="16"/>
    </w:rPr>
  </w:style>
  <w:style w:type="paragraph" w:styleId="CommentText">
    <w:name w:val="annotation text"/>
    <w:basedOn w:val="Normal"/>
    <w:link w:val="CommentTextChar"/>
    <w:uiPriority w:val="99"/>
    <w:unhideWhenUsed/>
    <w:rsid w:val="00B44968"/>
    <w:rPr>
      <w:sz w:val="20"/>
      <w:szCs w:val="20"/>
    </w:rPr>
  </w:style>
  <w:style w:type="character" w:customStyle="1" w:styleId="CommentTextChar">
    <w:name w:val="Comment Text Char"/>
    <w:link w:val="CommentText"/>
    <w:uiPriority w:val="99"/>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table" w:styleId="TableGrid">
    <w:name w:val="Table Grid"/>
    <w:basedOn w:val="TableNormal"/>
    <w:uiPriority w:val="39"/>
    <w:rsid w:val="00E04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D71"/>
    <w:pPr>
      <w:ind w:left="720"/>
      <w:contextualSpacing/>
    </w:pPr>
  </w:style>
  <w:style w:type="paragraph" w:customStyle="1" w:styleId="Figuretitle">
    <w:name w:val="Figure title"/>
    <w:basedOn w:val="Normal"/>
    <w:link w:val="FiguretitleChar1"/>
    <w:qFormat/>
    <w:rsid w:val="00A535D2"/>
    <w:rPr>
      <w:rFonts w:asciiTheme="minorHAnsi" w:eastAsia="Times New Roman" w:hAnsiTheme="minorHAnsi"/>
      <w:sz w:val="22"/>
    </w:rPr>
  </w:style>
  <w:style w:type="character" w:customStyle="1" w:styleId="FiguretitleChar1">
    <w:name w:val="Figure title Char1"/>
    <w:link w:val="Figuretitle"/>
    <w:rsid w:val="00A535D2"/>
    <w:rPr>
      <w:rFonts w:asciiTheme="minorHAnsi" w:eastAsia="Times New Roman" w:hAnsiTheme="minorHAnsi"/>
      <w:sz w:val="22"/>
      <w:szCs w:val="22"/>
    </w:rPr>
  </w:style>
  <w:style w:type="character" w:styleId="Hyperlink">
    <w:name w:val="Hyperlink"/>
    <w:rsid w:val="001A06DC"/>
    <w:rPr>
      <w:color w:val="0000FF"/>
      <w:u w:val="single"/>
    </w:rPr>
  </w:style>
  <w:style w:type="paragraph" w:styleId="NoSpacing">
    <w:name w:val="No Spacing"/>
    <w:link w:val="NoSpacingChar"/>
    <w:uiPriority w:val="1"/>
    <w:qFormat/>
    <w:rsid w:val="004F36E4"/>
    <w:pPr>
      <w:widowControl w:val="0"/>
    </w:pPr>
    <w:rPr>
      <w:rFonts w:ascii="Times New Roman" w:eastAsia="Times New Roman" w:hAnsi="Times New Roman"/>
    </w:rPr>
  </w:style>
  <w:style w:type="character" w:customStyle="1" w:styleId="NoSpacingChar">
    <w:name w:val="No Spacing Char"/>
    <w:basedOn w:val="DefaultParagraphFont"/>
    <w:link w:val="NoSpacing"/>
    <w:uiPriority w:val="1"/>
    <w:locked/>
    <w:rsid w:val="004F36E4"/>
    <w:rPr>
      <w:rFonts w:ascii="Times New Roman" w:eastAsia="Times New Roman" w:hAnsi="Times New Roman"/>
    </w:rPr>
  </w:style>
  <w:style w:type="table" w:customStyle="1" w:styleId="TableGrid1">
    <w:name w:val="Table Grid1"/>
    <w:basedOn w:val="TableNormal"/>
    <w:next w:val="TableGrid"/>
    <w:uiPriority w:val="59"/>
    <w:rsid w:val="00E53B9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30E1"/>
    <w:rPr>
      <w:rFonts w:asciiTheme="majorHAnsi" w:eastAsiaTheme="majorEastAsia" w:hAnsiTheme="majorHAnsi" w:cstheme="majorBidi"/>
      <w:bCs/>
      <w:sz w:val="24"/>
      <w:szCs w:val="22"/>
    </w:rPr>
  </w:style>
  <w:style w:type="paragraph" w:styleId="Revision">
    <w:name w:val="Revision"/>
    <w:hidden/>
    <w:uiPriority w:val="99"/>
    <w:semiHidden/>
    <w:rsid w:val="007B1D29"/>
    <w:rPr>
      <w:rFonts w:ascii="Times New Roman" w:hAnsi="Times New Roman"/>
      <w:sz w:val="24"/>
      <w:szCs w:val="22"/>
    </w:rPr>
  </w:style>
  <w:style w:type="character" w:styleId="FollowedHyperlink">
    <w:name w:val="FollowedHyperlink"/>
    <w:basedOn w:val="DefaultParagraphFont"/>
    <w:uiPriority w:val="99"/>
    <w:semiHidden/>
    <w:unhideWhenUsed/>
    <w:rsid w:val="009E1B77"/>
    <w:rPr>
      <w:color w:val="800080" w:themeColor="followedHyperlink"/>
      <w:u w:val="single"/>
    </w:rPr>
  </w:style>
  <w:style w:type="table" w:customStyle="1" w:styleId="LightShading-Accent121">
    <w:name w:val="Light Shading - Accent 121"/>
    <w:basedOn w:val="TableNormal"/>
    <w:uiPriority w:val="60"/>
    <w:rsid w:val="00E227D8"/>
    <w:rPr>
      <w:rFonts w:ascii="Times New Roman" w:eastAsiaTheme="minorHAnsi" w:hAnsi="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itle">
    <w:name w:val="Table title"/>
    <w:basedOn w:val="Normal"/>
    <w:link w:val="TabletitleChar3"/>
    <w:qFormat/>
    <w:rsid w:val="002B6BEA"/>
    <w:rPr>
      <w:rFonts w:eastAsia="Times New Roman"/>
      <w:bCs/>
    </w:rPr>
  </w:style>
  <w:style w:type="character" w:customStyle="1" w:styleId="TabletitleChar3">
    <w:name w:val="Table title Char3"/>
    <w:basedOn w:val="DefaultParagraphFont"/>
    <w:link w:val="Tabletitle"/>
    <w:rsid w:val="002B6BEA"/>
    <w:rPr>
      <w:rFonts w:ascii="Times New Roman" w:eastAsia="Times New Roman" w:hAnsi="Times New Roman"/>
      <w:bCs/>
      <w:sz w:val="24"/>
      <w:szCs w:val="22"/>
    </w:rPr>
  </w:style>
  <w:style w:type="table" w:customStyle="1" w:styleId="GridTable4-Accent11">
    <w:name w:val="Grid Table 4 - Accent 11"/>
    <w:basedOn w:val="TableNormal"/>
    <w:uiPriority w:val="49"/>
    <w:rsid w:val="002B6BEA"/>
    <w:rPr>
      <w:rFonts w:ascii="Times New Roman" w:hAnsi="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0">
    <w:name w:val="Grid Table 4 - Accent 11"/>
    <w:basedOn w:val="TableNormal"/>
    <w:uiPriority w:val="49"/>
    <w:rsid w:val="0041111F"/>
    <w:rPr>
      <w:rFonts w:ascii="Times New Roman" w:hAnsi="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qFormat/>
    <w:rsid w:val="00910D52"/>
    <w:pPr>
      <w:tabs>
        <w:tab w:val="left" w:pos="0"/>
        <w:tab w:val="left" w:pos="360"/>
        <w:tab w:val="left" w:pos="720"/>
        <w:tab w:val="left" w:pos="1080"/>
        <w:tab w:val="left" w:pos="1440"/>
        <w:tab w:val="left" w:pos="2160"/>
        <w:tab w:val="left" w:pos="5760"/>
        <w:tab w:val="left" w:pos="8640"/>
        <w:tab w:val="left" w:pos="10080"/>
      </w:tabs>
    </w:pPr>
    <w:rPr>
      <w:rFonts w:eastAsia="Times New Roman"/>
      <w:b/>
      <w:szCs w:val="20"/>
    </w:rPr>
  </w:style>
  <w:style w:type="character" w:styleId="FootnoteReference">
    <w:name w:val="footnote reference"/>
    <w:basedOn w:val="DefaultParagraphFont"/>
    <w:uiPriority w:val="99"/>
    <w:rsid w:val="00586C2A"/>
    <w:rPr>
      <w:vertAlign w:val="superscript"/>
    </w:rPr>
  </w:style>
  <w:style w:type="paragraph" w:styleId="FootnoteText">
    <w:name w:val="footnote text"/>
    <w:basedOn w:val="Normal"/>
    <w:link w:val="FootnoteTextChar"/>
    <w:uiPriority w:val="99"/>
    <w:rsid w:val="00586C2A"/>
    <w:pPr>
      <w:spacing w:after="200"/>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586C2A"/>
    <w:rPr>
      <w:rFonts w:ascii="Arial" w:eastAsia="Times New Roman" w:hAnsi="Arial"/>
    </w:rPr>
  </w:style>
  <w:style w:type="character" w:customStyle="1" w:styleId="FootnoteTextChar1">
    <w:name w:val="Footnote Text Char1"/>
    <w:basedOn w:val="DefaultParagraphFont"/>
    <w:semiHidden/>
    <w:locked/>
    <w:rsid w:val="004B5FB8"/>
  </w:style>
</w:styles>
</file>

<file path=word/webSettings.xml><?xml version="1.0" encoding="utf-8"?>
<w:webSettings xmlns:r="http://schemas.openxmlformats.org/officeDocument/2006/relationships" xmlns:w="http://schemas.openxmlformats.org/wordprocessingml/2006/main">
  <w:divs>
    <w:div w:id="1010825">
      <w:bodyDiv w:val="1"/>
      <w:marLeft w:val="0"/>
      <w:marRight w:val="0"/>
      <w:marTop w:val="0"/>
      <w:marBottom w:val="0"/>
      <w:divBdr>
        <w:top w:val="none" w:sz="0" w:space="0" w:color="auto"/>
        <w:left w:val="none" w:sz="0" w:space="0" w:color="auto"/>
        <w:bottom w:val="none" w:sz="0" w:space="0" w:color="auto"/>
        <w:right w:val="none" w:sz="0" w:space="0" w:color="auto"/>
      </w:divBdr>
    </w:div>
    <w:div w:id="8261239">
      <w:bodyDiv w:val="1"/>
      <w:marLeft w:val="0"/>
      <w:marRight w:val="0"/>
      <w:marTop w:val="0"/>
      <w:marBottom w:val="0"/>
      <w:divBdr>
        <w:top w:val="none" w:sz="0" w:space="0" w:color="auto"/>
        <w:left w:val="none" w:sz="0" w:space="0" w:color="auto"/>
        <w:bottom w:val="none" w:sz="0" w:space="0" w:color="auto"/>
        <w:right w:val="none" w:sz="0" w:space="0" w:color="auto"/>
      </w:divBdr>
    </w:div>
    <w:div w:id="131487814">
      <w:bodyDiv w:val="1"/>
      <w:marLeft w:val="0"/>
      <w:marRight w:val="0"/>
      <w:marTop w:val="0"/>
      <w:marBottom w:val="0"/>
      <w:divBdr>
        <w:top w:val="none" w:sz="0" w:space="0" w:color="auto"/>
        <w:left w:val="none" w:sz="0" w:space="0" w:color="auto"/>
        <w:bottom w:val="none" w:sz="0" w:space="0" w:color="auto"/>
        <w:right w:val="none" w:sz="0" w:space="0" w:color="auto"/>
      </w:divBdr>
    </w:div>
    <w:div w:id="183641896">
      <w:bodyDiv w:val="1"/>
      <w:marLeft w:val="0"/>
      <w:marRight w:val="0"/>
      <w:marTop w:val="0"/>
      <w:marBottom w:val="0"/>
      <w:divBdr>
        <w:top w:val="none" w:sz="0" w:space="0" w:color="auto"/>
        <w:left w:val="none" w:sz="0" w:space="0" w:color="auto"/>
        <w:bottom w:val="none" w:sz="0" w:space="0" w:color="auto"/>
        <w:right w:val="none" w:sz="0" w:space="0" w:color="auto"/>
      </w:divBdr>
    </w:div>
    <w:div w:id="252595178">
      <w:bodyDiv w:val="1"/>
      <w:marLeft w:val="0"/>
      <w:marRight w:val="0"/>
      <w:marTop w:val="0"/>
      <w:marBottom w:val="0"/>
      <w:divBdr>
        <w:top w:val="none" w:sz="0" w:space="0" w:color="auto"/>
        <w:left w:val="none" w:sz="0" w:space="0" w:color="auto"/>
        <w:bottom w:val="none" w:sz="0" w:space="0" w:color="auto"/>
        <w:right w:val="none" w:sz="0" w:space="0" w:color="auto"/>
      </w:divBdr>
    </w:div>
    <w:div w:id="372464642">
      <w:bodyDiv w:val="1"/>
      <w:marLeft w:val="0"/>
      <w:marRight w:val="0"/>
      <w:marTop w:val="0"/>
      <w:marBottom w:val="0"/>
      <w:divBdr>
        <w:top w:val="none" w:sz="0" w:space="0" w:color="auto"/>
        <w:left w:val="none" w:sz="0" w:space="0" w:color="auto"/>
        <w:bottom w:val="none" w:sz="0" w:space="0" w:color="auto"/>
        <w:right w:val="none" w:sz="0" w:space="0" w:color="auto"/>
      </w:divBdr>
    </w:div>
    <w:div w:id="420175261">
      <w:bodyDiv w:val="1"/>
      <w:marLeft w:val="0"/>
      <w:marRight w:val="0"/>
      <w:marTop w:val="0"/>
      <w:marBottom w:val="0"/>
      <w:divBdr>
        <w:top w:val="none" w:sz="0" w:space="0" w:color="auto"/>
        <w:left w:val="none" w:sz="0" w:space="0" w:color="auto"/>
        <w:bottom w:val="none" w:sz="0" w:space="0" w:color="auto"/>
        <w:right w:val="none" w:sz="0" w:space="0" w:color="auto"/>
      </w:divBdr>
    </w:div>
    <w:div w:id="534393710">
      <w:bodyDiv w:val="1"/>
      <w:marLeft w:val="0"/>
      <w:marRight w:val="0"/>
      <w:marTop w:val="0"/>
      <w:marBottom w:val="0"/>
      <w:divBdr>
        <w:top w:val="none" w:sz="0" w:space="0" w:color="auto"/>
        <w:left w:val="none" w:sz="0" w:space="0" w:color="auto"/>
        <w:bottom w:val="none" w:sz="0" w:space="0" w:color="auto"/>
        <w:right w:val="none" w:sz="0" w:space="0" w:color="auto"/>
      </w:divBdr>
    </w:div>
    <w:div w:id="612827295">
      <w:bodyDiv w:val="1"/>
      <w:marLeft w:val="0"/>
      <w:marRight w:val="0"/>
      <w:marTop w:val="0"/>
      <w:marBottom w:val="0"/>
      <w:divBdr>
        <w:top w:val="none" w:sz="0" w:space="0" w:color="auto"/>
        <w:left w:val="none" w:sz="0" w:space="0" w:color="auto"/>
        <w:bottom w:val="none" w:sz="0" w:space="0" w:color="auto"/>
        <w:right w:val="none" w:sz="0" w:space="0" w:color="auto"/>
      </w:divBdr>
    </w:div>
    <w:div w:id="622619257">
      <w:bodyDiv w:val="1"/>
      <w:marLeft w:val="0"/>
      <w:marRight w:val="0"/>
      <w:marTop w:val="0"/>
      <w:marBottom w:val="0"/>
      <w:divBdr>
        <w:top w:val="none" w:sz="0" w:space="0" w:color="auto"/>
        <w:left w:val="none" w:sz="0" w:space="0" w:color="auto"/>
        <w:bottom w:val="none" w:sz="0" w:space="0" w:color="auto"/>
        <w:right w:val="none" w:sz="0" w:space="0" w:color="auto"/>
      </w:divBdr>
    </w:div>
    <w:div w:id="739596248">
      <w:bodyDiv w:val="1"/>
      <w:marLeft w:val="0"/>
      <w:marRight w:val="0"/>
      <w:marTop w:val="0"/>
      <w:marBottom w:val="0"/>
      <w:divBdr>
        <w:top w:val="none" w:sz="0" w:space="0" w:color="auto"/>
        <w:left w:val="none" w:sz="0" w:space="0" w:color="auto"/>
        <w:bottom w:val="none" w:sz="0" w:space="0" w:color="auto"/>
        <w:right w:val="none" w:sz="0" w:space="0" w:color="auto"/>
      </w:divBdr>
    </w:div>
    <w:div w:id="810833371">
      <w:bodyDiv w:val="1"/>
      <w:marLeft w:val="0"/>
      <w:marRight w:val="0"/>
      <w:marTop w:val="0"/>
      <w:marBottom w:val="0"/>
      <w:divBdr>
        <w:top w:val="none" w:sz="0" w:space="0" w:color="auto"/>
        <w:left w:val="none" w:sz="0" w:space="0" w:color="auto"/>
        <w:bottom w:val="none" w:sz="0" w:space="0" w:color="auto"/>
        <w:right w:val="none" w:sz="0" w:space="0" w:color="auto"/>
      </w:divBdr>
    </w:div>
    <w:div w:id="884370769">
      <w:bodyDiv w:val="1"/>
      <w:marLeft w:val="0"/>
      <w:marRight w:val="0"/>
      <w:marTop w:val="0"/>
      <w:marBottom w:val="0"/>
      <w:divBdr>
        <w:top w:val="none" w:sz="0" w:space="0" w:color="auto"/>
        <w:left w:val="none" w:sz="0" w:space="0" w:color="auto"/>
        <w:bottom w:val="none" w:sz="0" w:space="0" w:color="auto"/>
        <w:right w:val="none" w:sz="0" w:space="0" w:color="auto"/>
      </w:divBdr>
    </w:div>
    <w:div w:id="907346998">
      <w:bodyDiv w:val="1"/>
      <w:marLeft w:val="0"/>
      <w:marRight w:val="0"/>
      <w:marTop w:val="0"/>
      <w:marBottom w:val="0"/>
      <w:divBdr>
        <w:top w:val="none" w:sz="0" w:space="0" w:color="auto"/>
        <w:left w:val="none" w:sz="0" w:space="0" w:color="auto"/>
        <w:bottom w:val="none" w:sz="0" w:space="0" w:color="auto"/>
        <w:right w:val="none" w:sz="0" w:space="0" w:color="auto"/>
      </w:divBdr>
    </w:div>
    <w:div w:id="912469211">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48643998">
      <w:bodyDiv w:val="1"/>
      <w:marLeft w:val="0"/>
      <w:marRight w:val="0"/>
      <w:marTop w:val="0"/>
      <w:marBottom w:val="0"/>
      <w:divBdr>
        <w:top w:val="none" w:sz="0" w:space="0" w:color="auto"/>
        <w:left w:val="none" w:sz="0" w:space="0" w:color="auto"/>
        <w:bottom w:val="none" w:sz="0" w:space="0" w:color="auto"/>
        <w:right w:val="none" w:sz="0" w:space="0" w:color="auto"/>
      </w:divBdr>
    </w:div>
    <w:div w:id="1062631966">
      <w:bodyDiv w:val="1"/>
      <w:marLeft w:val="0"/>
      <w:marRight w:val="0"/>
      <w:marTop w:val="0"/>
      <w:marBottom w:val="0"/>
      <w:divBdr>
        <w:top w:val="none" w:sz="0" w:space="0" w:color="auto"/>
        <w:left w:val="none" w:sz="0" w:space="0" w:color="auto"/>
        <w:bottom w:val="none" w:sz="0" w:space="0" w:color="auto"/>
        <w:right w:val="none" w:sz="0" w:space="0" w:color="auto"/>
      </w:divBdr>
    </w:div>
    <w:div w:id="1103380788">
      <w:bodyDiv w:val="1"/>
      <w:marLeft w:val="0"/>
      <w:marRight w:val="0"/>
      <w:marTop w:val="0"/>
      <w:marBottom w:val="0"/>
      <w:divBdr>
        <w:top w:val="none" w:sz="0" w:space="0" w:color="auto"/>
        <w:left w:val="none" w:sz="0" w:space="0" w:color="auto"/>
        <w:bottom w:val="none" w:sz="0" w:space="0" w:color="auto"/>
        <w:right w:val="none" w:sz="0" w:space="0" w:color="auto"/>
      </w:divBdr>
    </w:div>
    <w:div w:id="1229422037">
      <w:bodyDiv w:val="1"/>
      <w:marLeft w:val="0"/>
      <w:marRight w:val="0"/>
      <w:marTop w:val="0"/>
      <w:marBottom w:val="0"/>
      <w:divBdr>
        <w:top w:val="none" w:sz="0" w:space="0" w:color="auto"/>
        <w:left w:val="none" w:sz="0" w:space="0" w:color="auto"/>
        <w:bottom w:val="none" w:sz="0" w:space="0" w:color="auto"/>
        <w:right w:val="none" w:sz="0" w:space="0" w:color="auto"/>
      </w:divBdr>
    </w:div>
    <w:div w:id="1265725018">
      <w:bodyDiv w:val="1"/>
      <w:marLeft w:val="0"/>
      <w:marRight w:val="0"/>
      <w:marTop w:val="0"/>
      <w:marBottom w:val="0"/>
      <w:divBdr>
        <w:top w:val="none" w:sz="0" w:space="0" w:color="auto"/>
        <w:left w:val="none" w:sz="0" w:space="0" w:color="auto"/>
        <w:bottom w:val="none" w:sz="0" w:space="0" w:color="auto"/>
        <w:right w:val="none" w:sz="0" w:space="0" w:color="auto"/>
      </w:divBdr>
    </w:div>
    <w:div w:id="1283807786">
      <w:bodyDiv w:val="1"/>
      <w:marLeft w:val="0"/>
      <w:marRight w:val="0"/>
      <w:marTop w:val="0"/>
      <w:marBottom w:val="0"/>
      <w:divBdr>
        <w:top w:val="none" w:sz="0" w:space="0" w:color="auto"/>
        <w:left w:val="none" w:sz="0" w:space="0" w:color="auto"/>
        <w:bottom w:val="none" w:sz="0" w:space="0" w:color="auto"/>
        <w:right w:val="none" w:sz="0" w:space="0" w:color="auto"/>
      </w:divBdr>
    </w:div>
    <w:div w:id="1298682071">
      <w:bodyDiv w:val="1"/>
      <w:marLeft w:val="0"/>
      <w:marRight w:val="0"/>
      <w:marTop w:val="0"/>
      <w:marBottom w:val="0"/>
      <w:divBdr>
        <w:top w:val="none" w:sz="0" w:space="0" w:color="auto"/>
        <w:left w:val="none" w:sz="0" w:space="0" w:color="auto"/>
        <w:bottom w:val="none" w:sz="0" w:space="0" w:color="auto"/>
        <w:right w:val="none" w:sz="0" w:space="0" w:color="auto"/>
      </w:divBdr>
    </w:div>
    <w:div w:id="1377513268">
      <w:bodyDiv w:val="1"/>
      <w:marLeft w:val="0"/>
      <w:marRight w:val="0"/>
      <w:marTop w:val="0"/>
      <w:marBottom w:val="0"/>
      <w:divBdr>
        <w:top w:val="none" w:sz="0" w:space="0" w:color="auto"/>
        <w:left w:val="none" w:sz="0" w:space="0" w:color="auto"/>
        <w:bottom w:val="none" w:sz="0" w:space="0" w:color="auto"/>
        <w:right w:val="none" w:sz="0" w:space="0" w:color="auto"/>
      </w:divBdr>
    </w:div>
    <w:div w:id="1397784160">
      <w:bodyDiv w:val="1"/>
      <w:marLeft w:val="0"/>
      <w:marRight w:val="0"/>
      <w:marTop w:val="0"/>
      <w:marBottom w:val="0"/>
      <w:divBdr>
        <w:top w:val="none" w:sz="0" w:space="0" w:color="auto"/>
        <w:left w:val="none" w:sz="0" w:space="0" w:color="auto"/>
        <w:bottom w:val="none" w:sz="0" w:space="0" w:color="auto"/>
        <w:right w:val="none" w:sz="0" w:space="0" w:color="auto"/>
      </w:divBdr>
    </w:div>
    <w:div w:id="1502231707">
      <w:bodyDiv w:val="1"/>
      <w:marLeft w:val="0"/>
      <w:marRight w:val="0"/>
      <w:marTop w:val="0"/>
      <w:marBottom w:val="0"/>
      <w:divBdr>
        <w:top w:val="none" w:sz="0" w:space="0" w:color="auto"/>
        <w:left w:val="none" w:sz="0" w:space="0" w:color="auto"/>
        <w:bottom w:val="none" w:sz="0" w:space="0" w:color="auto"/>
        <w:right w:val="none" w:sz="0" w:space="0" w:color="auto"/>
      </w:divBdr>
    </w:div>
    <w:div w:id="1585341047">
      <w:bodyDiv w:val="1"/>
      <w:marLeft w:val="0"/>
      <w:marRight w:val="0"/>
      <w:marTop w:val="0"/>
      <w:marBottom w:val="0"/>
      <w:divBdr>
        <w:top w:val="none" w:sz="0" w:space="0" w:color="auto"/>
        <w:left w:val="none" w:sz="0" w:space="0" w:color="auto"/>
        <w:bottom w:val="none" w:sz="0" w:space="0" w:color="auto"/>
        <w:right w:val="none" w:sz="0" w:space="0" w:color="auto"/>
      </w:divBdr>
    </w:div>
    <w:div w:id="1790392335">
      <w:bodyDiv w:val="1"/>
      <w:marLeft w:val="0"/>
      <w:marRight w:val="0"/>
      <w:marTop w:val="0"/>
      <w:marBottom w:val="0"/>
      <w:divBdr>
        <w:top w:val="none" w:sz="0" w:space="0" w:color="auto"/>
        <w:left w:val="none" w:sz="0" w:space="0" w:color="auto"/>
        <w:bottom w:val="none" w:sz="0" w:space="0" w:color="auto"/>
        <w:right w:val="none" w:sz="0" w:space="0" w:color="auto"/>
      </w:divBdr>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60451627">
      <w:bodyDiv w:val="1"/>
      <w:marLeft w:val="0"/>
      <w:marRight w:val="0"/>
      <w:marTop w:val="0"/>
      <w:marBottom w:val="0"/>
      <w:divBdr>
        <w:top w:val="none" w:sz="0" w:space="0" w:color="auto"/>
        <w:left w:val="none" w:sz="0" w:space="0" w:color="auto"/>
        <w:bottom w:val="none" w:sz="0" w:space="0" w:color="auto"/>
        <w:right w:val="none" w:sz="0" w:space="0" w:color="auto"/>
      </w:divBdr>
    </w:div>
    <w:div w:id="1982416438">
      <w:bodyDiv w:val="1"/>
      <w:marLeft w:val="0"/>
      <w:marRight w:val="0"/>
      <w:marTop w:val="0"/>
      <w:marBottom w:val="0"/>
      <w:divBdr>
        <w:top w:val="none" w:sz="0" w:space="0" w:color="auto"/>
        <w:left w:val="none" w:sz="0" w:space="0" w:color="auto"/>
        <w:bottom w:val="none" w:sz="0" w:space="0" w:color="auto"/>
        <w:right w:val="none" w:sz="0" w:space="0" w:color="auto"/>
      </w:divBdr>
    </w:div>
    <w:div w:id="1986205639">
      <w:bodyDiv w:val="1"/>
      <w:marLeft w:val="0"/>
      <w:marRight w:val="0"/>
      <w:marTop w:val="0"/>
      <w:marBottom w:val="0"/>
      <w:divBdr>
        <w:top w:val="none" w:sz="0" w:space="0" w:color="auto"/>
        <w:left w:val="none" w:sz="0" w:space="0" w:color="auto"/>
        <w:bottom w:val="none" w:sz="0" w:space="0" w:color="auto"/>
        <w:right w:val="none" w:sz="0" w:space="0" w:color="auto"/>
      </w:divBdr>
    </w:div>
    <w:div w:id="20592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larkin\Documents\Mike\Cobia\North_SA_Cob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9776187067525733E-2"/>
          <c:y val="5.1400477925334025E-2"/>
          <c:w val="0.90468098305893496"/>
          <c:h val="0.82025863886915318"/>
        </c:manualLayout>
      </c:layout>
      <c:lineChart>
        <c:grouping val="standard"/>
        <c:ser>
          <c:idx val="3"/>
          <c:order val="0"/>
          <c:tx>
            <c:v>2013</c:v>
          </c:tx>
          <c:marker>
            <c:symbol val="none"/>
          </c:marker>
          <c:cat>
            <c:strRef>
              <c:f>Projection!$Q$14:$U$14</c:f>
              <c:strCache>
                <c:ptCount val="5"/>
                <c:pt idx="0">
                  <c:v>Jan/Feb</c:v>
                </c:pt>
                <c:pt idx="1">
                  <c:v>Mar/Apr</c:v>
                </c:pt>
                <c:pt idx="2">
                  <c:v>May/Jun</c:v>
                </c:pt>
                <c:pt idx="3">
                  <c:v>Jul/Aug</c:v>
                </c:pt>
                <c:pt idx="4">
                  <c:v>Sep/Oct</c:v>
                </c:pt>
              </c:strCache>
            </c:strRef>
          </c:cat>
          <c:val>
            <c:numRef>
              <c:f>Projection!$Q$18:$U$18</c:f>
              <c:numCache>
                <c:formatCode>#,##0</c:formatCode>
                <c:ptCount val="5"/>
                <c:pt idx="0">
                  <c:v>0</c:v>
                </c:pt>
                <c:pt idx="1">
                  <c:v>427.0089739999998</c:v>
                </c:pt>
                <c:pt idx="2">
                  <c:v>532636.21034716931</c:v>
                </c:pt>
                <c:pt idx="3">
                  <c:v>330702.52111560002</c:v>
                </c:pt>
                <c:pt idx="4">
                  <c:v>32020.76239550002</c:v>
                </c:pt>
              </c:numCache>
            </c:numRef>
          </c:val>
        </c:ser>
        <c:ser>
          <c:idx val="0"/>
          <c:order val="1"/>
          <c:tx>
            <c:v>2014</c:v>
          </c:tx>
          <c:marker>
            <c:symbol val="none"/>
          </c:marker>
          <c:cat>
            <c:strRef>
              <c:f>Projection!$Q$14:$U$14</c:f>
              <c:strCache>
                <c:ptCount val="5"/>
                <c:pt idx="0">
                  <c:v>Jan/Feb</c:v>
                </c:pt>
                <c:pt idx="1">
                  <c:v>Mar/Apr</c:v>
                </c:pt>
                <c:pt idx="2">
                  <c:v>May/Jun</c:v>
                </c:pt>
                <c:pt idx="3">
                  <c:v>Jul/Aug</c:v>
                </c:pt>
                <c:pt idx="4">
                  <c:v>Sep/Oct</c:v>
                </c:pt>
              </c:strCache>
            </c:strRef>
          </c:cat>
          <c:val>
            <c:numRef>
              <c:f>Projection!$Q$15:$U$15</c:f>
              <c:numCache>
                <c:formatCode>#,##0</c:formatCode>
                <c:ptCount val="5"/>
                <c:pt idx="0">
                  <c:v>0</c:v>
                </c:pt>
                <c:pt idx="1">
                  <c:v>623.80700219999926</c:v>
                </c:pt>
                <c:pt idx="2">
                  <c:v>384974.58057333023</c:v>
                </c:pt>
                <c:pt idx="3">
                  <c:v>157882.35418879977</c:v>
                </c:pt>
                <c:pt idx="4">
                  <c:v>1004.44872533</c:v>
                </c:pt>
              </c:numCache>
            </c:numRef>
          </c:val>
        </c:ser>
        <c:ser>
          <c:idx val="1"/>
          <c:order val="2"/>
          <c:tx>
            <c:v>2015</c:v>
          </c:tx>
          <c:spPr>
            <a:ln>
              <a:solidFill>
                <a:schemeClr val="tx1"/>
              </a:solidFill>
            </a:ln>
          </c:spPr>
          <c:marker>
            <c:symbol val="none"/>
          </c:marker>
          <c:cat>
            <c:strRef>
              <c:f>Projection!$Q$14:$U$14</c:f>
              <c:strCache>
                <c:ptCount val="5"/>
                <c:pt idx="0">
                  <c:v>Jan/Feb</c:v>
                </c:pt>
                <c:pt idx="1">
                  <c:v>Mar/Apr</c:v>
                </c:pt>
                <c:pt idx="2">
                  <c:v>May/Jun</c:v>
                </c:pt>
                <c:pt idx="3">
                  <c:v>Jul/Aug</c:v>
                </c:pt>
                <c:pt idx="4">
                  <c:v>Sep/Oct</c:v>
                </c:pt>
              </c:strCache>
            </c:strRef>
          </c:cat>
          <c:val>
            <c:numRef>
              <c:f>Projection!$Q$16:$U$16</c:f>
              <c:numCache>
                <c:formatCode>#,##0</c:formatCode>
                <c:ptCount val="5"/>
                <c:pt idx="0">
                  <c:v>0</c:v>
                </c:pt>
                <c:pt idx="1">
                  <c:v>43764.031699999992</c:v>
                </c:pt>
                <c:pt idx="2">
                  <c:v>914851.59713329957</c:v>
                </c:pt>
                <c:pt idx="3">
                  <c:v>561514.18255437957</c:v>
                </c:pt>
                <c:pt idx="4">
                  <c:v>16601</c:v>
                </c:pt>
              </c:numCache>
            </c:numRef>
          </c:val>
        </c:ser>
        <c:ser>
          <c:idx val="4"/>
          <c:order val="3"/>
          <c:tx>
            <c:v>Average 2013-2015</c:v>
          </c:tx>
          <c:spPr>
            <a:ln>
              <a:solidFill>
                <a:srgbClr val="FFC000"/>
              </a:solidFill>
              <a:prstDash val="dash"/>
            </a:ln>
          </c:spPr>
          <c:marker>
            <c:symbol val="none"/>
          </c:marker>
          <c:cat>
            <c:strRef>
              <c:f>Projection!$Q$14:$U$14</c:f>
              <c:strCache>
                <c:ptCount val="5"/>
                <c:pt idx="0">
                  <c:v>Jan/Feb</c:v>
                </c:pt>
                <c:pt idx="1">
                  <c:v>Mar/Apr</c:v>
                </c:pt>
                <c:pt idx="2">
                  <c:v>May/Jun</c:v>
                </c:pt>
                <c:pt idx="3">
                  <c:v>Jul/Aug</c:v>
                </c:pt>
                <c:pt idx="4">
                  <c:v>Sep/Oct</c:v>
                </c:pt>
              </c:strCache>
            </c:strRef>
          </c:cat>
          <c:val>
            <c:numRef>
              <c:f>Projection!$Q$19:$U$19</c:f>
              <c:numCache>
                <c:formatCode>#,##0</c:formatCode>
                <c:ptCount val="5"/>
                <c:pt idx="0">
                  <c:v>0</c:v>
                </c:pt>
                <c:pt idx="1">
                  <c:v>14938.282558733345</c:v>
                </c:pt>
                <c:pt idx="2">
                  <c:v>610820.7960179334</c:v>
                </c:pt>
                <c:pt idx="3">
                  <c:v>350033.01928626013</c:v>
                </c:pt>
                <c:pt idx="4">
                  <c:v>16542.07037361</c:v>
                </c:pt>
              </c:numCache>
            </c:numRef>
          </c:val>
        </c:ser>
        <c:ser>
          <c:idx val="2"/>
          <c:order val="4"/>
          <c:tx>
            <c:v>Average 2014-2015</c:v>
          </c:tx>
          <c:spPr>
            <a:ln>
              <a:prstDash val="dash"/>
            </a:ln>
          </c:spPr>
          <c:marker>
            <c:symbol val="none"/>
          </c:marker>
          <c:cat>
            <c:strRef>
              <c:f>Projection!$Q$14:$U$14</c:f>
              <c:strCache>
                <c:ptCount val="5"/>
                <c:pt idx="0">
                  <c:v>Jan/Feb</c:v>
                </c:pt>
                <c:pt idx="1">
                  <c:v>Mar/Apr</c:v>
                </c:pt>
                <c:pt idx="2">
                  <c:v>May/Jun</c:v>
                </c:pt>
                <c:pt idx="3">
                  <c:v>Jul/Aug</c:v>
                </c:pt>
                <c:pt idx="4">
                  <c:v>Sep/Oct</c:v>
                </c:pt>
              </c:strCache>
            </c:strRef>
          </c:cat>
          <c:val>
            <c:numRef>
              <c:f>Projection!$Q$17:$U$17</c:f>
              <c:numCache>
                <c:formatCode>#,##0</c:formatCode>
                <c:ptCount val="5"/>
                <c:pt idx="0">
                  <c:v>0</c:v>
                </c:pt>
                <c:pt idx="1">
                  <c:v>22193.919351099994</c:v>
                </c:pt>
                <c:pt idx="2">
                  <c:v>649913.08885331545</c:v>
                </c:pt>
                <c:pt idx="3">
                  <c:v>359698.26837159001</c:v>
                </c:pt>
                <c:pt idx="4">
                  <c:v>8802.7243626649997</c:v>
                </c:pt>
              </c:numCache>
            </c:numRef>
          </c:val>
        </c:ser>
        <c:marker val="1"/>
        <c:axId val="104140800"/>
        <c:axId val="104143872"/>
      </c:lineChart>
      <c:catAx>
        <c:axId val="104140800"/>
        <c:scaling>
          <c:orientation val="minMax"/>
        </c:scaling>
        <c:axPos val="b"/>
        <c:title>
          <c:tx>
            <c:rich>
              <a:bodyPr/>
              <a:lstStyle/>
              <a:p>
                <a:pPr>
                  <a:defRPr/>
                </a:pPr>
                <a:r>
                  <a:rPr lang="en-US"/>
                  <a:t>Wave</a:t>
                </a:r>
              </a:p>
            </c:rich>
          </c:tx>
        </c:title>
        <c:numFmt formatCode="General" sourceLinked="1"/>
        <c:majorTickMark val="none"/>
        <c:minorTickMark val="cross"/>
        <c:tickLblPos val="nextTo"/>
        <c:spPr>
          <a:ln w="19050">
            <a:solidFill>
              <a:schemeClr val="tx1"/>
            </a:solidFill>
          </a:ln>
        </c:spPr>
        <c:crossAx val="104143872"/>
        <c:crosses val="autoZero"/>
        <c:auto val="1"/>
        <c:lblAlgn val="ctr"/>
        <c:lblOffset val="100"/>
      </c:catAx>
      <c:valAx>
        <c:axId val="104143872"/>
        <c:scaling>
          <c:orientation val="minMax"/>
        </c:scaling>
        <c:axPos val="l"/>
        <c:title>
          <c:tx>
            <c:rich>
              <a:bodyPr rot="-5400000" vert="horz"/>
              <a:lstStyle/>
              <a:p>
                <a:pPr>
                  <a:defRPr/>
                </a:pPr>
                <a:r>
                  <a:rPr lang="en-US"/>
                  <a:t>Landings (lbs)</a:t>
                </a:r>
              </a:p>
            </c:rich>
          </c:tx>
        </c:title>
        <c:numFmt formatCode="#,##0.0" sourceLinked="0"/>
        <c:majorTickMark val="cross"/>
        <c:minorTickMark val="out"/>
        <c:tickLblPos val="nextTo"/>
        <c:spPr>
          <a:ln w="19050">
            <a:solidFill>
              <a:schemeClr val="tx1"/>
            </a:solidFill>
          </a:ln>
        </c:spPr>
        <c:txPr>
          <a:bodyPr/>
          <a:lstStyle/>
          <a:p>
            <a:pPr>
              <a:defRPr sz="1050"/>
            </a:pPr>
            <a:endParaRPr lang="en-US"/>
          </a:p>
        </c:txPr>
        <c:crossAx val="104140800"/>
        <c:crosses val="autoZero"/>
        <c:crossBetween val="between"/>
        <c:dispUnits>
          <c:builtInUnit val="millions"/>
          <c:dispUnitsLbl/>
        </c:dispUnits>
      </c:valAx>
    </c:plotArea>
    <c:legend>
      <c:legendPos val="r"/>
      <c:layout>
        <c:manualLayout>
          <c:xMode val="edge"/>
          <c:yMode val="edge"/>
          <c:x val="0.117830589358148"/>
          <c:y val="6.9385601519959331E-2"/>
          <c:w val="0.31295307056998711"/>
          <c:h val="0.39466597886636212"/>
        </c:manualLayout>
      </c:layout>
    </c:legend>
    <c:plotVisOnly val="1"/>
    <c:dispBlanksAs val="gap"/>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8EDA-0E99-4A0A-878C-C7AA8A7F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SAFMC Present</cp:lastModifiedBy>
  <cp:revision>5</cp:revision>
  <cp:lastPrinted>2016-02-17T14:56:00Z</cp:lastPrinted>
  <dcterms:created xsi:type="dcterms:W3CDTF">2016-06-15T15:41:00Z</dcterms:created>
  <dcterms:modified xsi:type="dcterms:W3CDTF">2016-06-16T22:04:00Z</dcterms:modified>
</cp:coreProperties>
</file>