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71" w:rsidRPr="00AD6871" w:rsidRDefault="00AD6871" w:rsidP="00AD6871">
      <w:pPr>
        <w:pStyle w:val="ListParagraph"/>
        <w:spacing w:after="0" w:line="240" w:lineRule="auto"/>
        <w:ind w:left="360"/>
        <w:jc w:val="center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 w:rsidRPr="00AD6871">
        <w:rPr>
          <w:rFonts w:eastAsia="Calibri"/>
          <w:b/>
          <w:bCs/>
          <w:sz w:val="28"/>
          <w:szCs w:val="28"/>
        </w:rPr>
        <w:t>Terms of Reference for Atlantic Sturgeon</w:t>
      </w:r>
    </w:p>
    <w:p w:rsidR="00AD6871" w:rsidRPr="00AD6871" w:rsidRDefault="00AD6871" w:rsidP="00AD6871">
      <w:pPr>
        <w:pStyle w:val="ListParagraph"/>
        <w:spacing w:after="0" w:line="240" w:lineRule="auto"/>
        <w:ind w:left="360"/>
        <w:jc w:val="center"/>
        <w:rPr>
          <w:rFonts w:eastAsia="Calibri"/>
          <w:bCs/>
          <w:i/>
        </w:rPr>
      </w:pPr>
      <w:r w:rsidRPr="00AD6871">
        <w:rPr>
          <w:rFonts w:eastAsia="Calibri"/>
          <w:bCs/>
          <w:i/>
        </w:rPr>
        <w:t>Approved by the Sturgeon Management Board on Februar</w:t>
      </w:r>
      <w:r>
        <w:rPr>
          <w:rFonts w:eastAsia="Calibri"/>
          <w:bCs/>
          <w:i/>
        </w:rPr>
        <w:t>y 6, 2014</w:t>
      </w:r>
    </w:p>
    <w:p w:rsidR="00AD6871" w:rsidRDefault="00AD6871" w:rsidP="00D419A6">
      <w:pPr>
        <w:pStyle w:val="ListParagraph"/>
        <w:spacing w:after="0" w:line="240" w:lineRule="auto"/>
        <w:ind w:left="360"/>
        <w:rPr>
          <w:rFonts w:eastAsia="Calibri"/>
          <w:b/>
          <w:bCs/>
        </w:rPr>
      </w:pPr>
    </w:p>
    <w:p w:rsidR="009A2136" w:rsidRDefault="009A2136" w:rsidP="00D419A6">
      <w:pPr>
        <w:pStyle w:val="ListParagraph"/>
        <w:spacing w:after="0" w:line="240" w:lineRule="auto"/>
        <w:ind w:left="360"/>
        <w:rPr>
          <w:rFonts w:eastAsia="Calibri"/>
          <w:b/>
          <w:bCs/>
        </w:rPr>
      </w:pPr>
      <w:r>
        <w:rPr>
          <w:rFonts w:eastAsia="Calibri"/>
          <w:b/>
          <w:bCs/>
        </w:rPr>
        <w:t>Objective Statement</w:t>
      </w:r>
    </w:p>
    <w:p w:rsidR="009A2136" w:rsidRDefault="009A2136" w:rsidP="009A2136">
      <w:pPr>
        <w:pStyle w:val="ListParagraph"/>
        <w:spacing w:after="0" w:line="240" w:lineRule="auto"/>
        <w:ind w:left="360"/>
        <w:jc w:val="both"/>
        <w:rPr>
          <w:rFonts w:eastAsia="Calibri"/>
          <w:b/>
          <w:bCs/>
        </w:rPr>
      </w:pPr>
    </w:p>
    <w:p w:rsidR="009A2136" w:rsidRPr="009A2136" w:rsidRDefault="009A2136" w:rsidP="009A2136">
      <w:pPr>
        <w:pStyle w:val="ListParagraph"/>
        <w:spacing w:after="0" w:line="240" w:lineRule="auto"/>
        <w:ind w:left="360"/>
        <w:jc w:val="both"/>
        <w:rPr>
          <w:rFonts w:eastAsia="Calibri"/>
          <w:bCs/>
        </w:rPr>
      </w:pPr>
      <w:r>
        <w:rPr>
          <w:rFonts w:eastAsia="Calibri"/>
          <w:bCs/>
        </w:rPr>
        <w:t>The objectives of this assessment are to gather the best available data on Atlantic sturgeon</w:t>
      </w:r>
      <w:r w:rsidR="001F4FCC">
        <w:rPr>
          <w:rFonts w:eastAsia="Calibri"/>
          <w:bCs/>
        </w:rPr>
        <w:t xml:space="preserve"> in order to </w:t>
      </w:r>
      <w:r>
        <w:rPr>
          <w:rFonts w:eastAsia="Calibri"/>
          <w:bCs/>
        </w:rPr>
        <w:t>develop meaningful biological reference points and assess the status of the stock against those reference points at a scale that is most appropriate for the biology and management of the species.</w:t>
      </w:r>
    </w:p>
    <w:p w:rsidR="009A2136" w:rsidRDefault="009A2136" w:rsidP="00D419A6">
      <w:pPr>
        <w:pStyle w:val="ListParagraph"/>
        <w:spacing w:after="0" w:line="240" w:lineRule="auto"/>
        <w:ind w:left="360"/>
        <w:rPr>
          <w:rFonts w:eastAsia="Calibri"/>
          <w:b/>
          <w:bCs/>
        </w:rPr>
      </w:pPr>
    </w:p>
    <w:p w:rsidR="00D419A6" w:rsidRDefault="00D419A6" w:rsidP="00D419A6">
      <w:pPr>
        <w:pStyle w:val="ListParagraph"/>
        <w:spacing w:after="0" w:line="240" w:lineRule="auto"/>
        <w:ind w:left="360"/>
        <w:rPr>
          <w:b/>
          <w:bCs/>
        </w:rPr>
      </w:pPr>
      <w:r w:rsidRPr="00D419A6">
        <w:rPr>
          <w:rFonts w:eastAsia="Calibri"/>
          <w:b/>
          <w:bCs/>
        </w:rPr>
        <w:t xml:space="preserve">Terms of Reference for </w:t>
      </w:r>
      <w:r w:rsidR="00A75248">
        <w:rPr>
          <w:rFonts w:eastAsia="Calibri"/>
          <w:b/>
          <w:bCs/>
        </w:rPr>
        <w:t>Atlantic Sturgeon</w:t>
      </w:r>
      <w:r w:rsidRPr="00D419A6">
        <w:rPr>
          <w:rFonts w:eastAsia="Calibri"/>
          <w:b/>
          <w:bCs/>
        </w:rPr>
        <w:t xml:space="preserve"> Stock Assessment</w:t>
      </w:r>
    </w:p>
    <w:p w:rsidR="00D419A6" w:rsidRPr="00D419A6" w:rsidRDefault="00D419A6" w:rsidP="00D419A6">
      <w:pPr>
        <w:pStyle w:val="ListParagraph"/>
        <w:spacing w:after="0" w:line="240" w:lineRule="auto"/>
        <w:ind w:left="360"/>
        <w:rPr>
          <w:rFonts w:eastAsia="Calibri"/>
          <w:bCs/>
        </w:rPr>
      </w:pPr>
    </w:p>
    <w:p w:rsidR="00713CF3" w:rsidRPr="00713CF3" w:rsidRDefault="00CE37BC" w:rsidP="00D419A6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bCs/>
        </w:rPr>
      </w:pPr>
      <w:r>
        <w:t>Define population structure based on available genetic and tagging data. If alternative population structures are used in models (e.g., DPS, coastwide, river system), justify use of each population structure.</w:t>
      </w:r>
      <w:bookmarkStart w:id="1" w:name="_msoanchor_1"/>
      <w:bookmarkEnd w:id="1"/>
    </w:p>
    <w:p w:rsidR="00713CF3" w:rsidRPr="00713CF3" w:rsidRDefault="00713CF3" w:rsidP="00713CF3">
      <w:pPr>
        <w:pStyle w:val="ListParagraph"/>
        <w:spacing w:after="0" w:line="240" w:lineRule="auto"/>
        <w:rPr>
          <w:rFonts w:eastAsia="Calibri"/>
          <w:bCs/>
        </w:rPr>
      </w:pPr>
    </w:p>
    <w:p w:rsidR="00D419A6" w:rsidRPr="00D419A6" w:rsidRDefault="00D419A6" w:rsidP="00D419A6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bCs/>
        </w:rPr>
      </w:pPr>
      <w:r w:rsidRPr="00D419A6">
        <w:rPr>
          <w:rFonts w:eastAsia="Calibri"/>
          <w:bCs/>
        </w:rPr>
        <w:t>Characterize</w:t>
      </w:r>
      <w:r w:rsidR="00713CF3">
        <w:rPr>
          <w:rFonts w:eastAsia="Calibri"/>
          <w:bCs/>
        </w:rPr>
        <w:t xml:space="preserve"> the</w:t>
      </w:r>
      <w:r w:rsidRPr="00D419A6">
        <w:rPr>
          <w:rFonts w:eastAsia="Calibri"/>
          <w:bCs/>
        </w:rPr>
        <w:t xml:space="preserve"> precision and reliability of fishery-dependent and fishery-independent data</w:t>
      </w:r>
      <w:r w:rsidR="00A75248">
        <w:rPr>
          <w:rFonts w:eastAsia="Calibri"/>
          <w:bCs/>
        </w:rPr>
        <w:t>, including tagging data,</w:t>
      </w:r>
      <w:r>
        <w:rPr>
          <w:bCs/>
        </w:rPr>
        <w:t xml:space="preserve"> </w:t>
      </w:r>
      <w:r w:rsidR="00713CF3">
        <w:rPr>
          <w:bCs/>
        </w:rPr>
        <w:t xml:space="preserve">that are </w:t>
      </w:r>
      <w:r w:rsidRPr="00D419A6">
        <w:rPr>
          <w:rFonts w:eastAsia="Calibri"/>
          <w:bCs/>
        </w:rPr>
        <w:t>used in the assessment, including the following but not limited to: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spacing w:after="0" w:line="240" w:lineRule="auto"/>
        <w:rPr>
          <w:rFonts w:eastAsia="Calibri"/>
          <w:bCs/>
        </w:rPr>
      </w:pPr>
      <w:r w:rsidRPr="00D419A6">
        <w:rPr>
          <w:rFonts w:eastAsia="Calibri"/>
          <w:bCs/>
        </w:rPr>
        <w:t>Provide descriptions of each data source (e.g.</w:t>
      </w:r>
      <w:r w:rsidR="001E5641">
        <w:rPr>
          <w:rFonts w:eastAsia="Calibri"/>
          <w:bCs/>
        </w:rPr>
        <w:t>,</w:t>
      </w:r>
      <w:r w:rsidRPr="00D419A6">
        <w:rPr>
          <w:rFonts w:eastAsia="Calibri"/>
          <w:bCs/>
        </w:rPr>
        <w:t xml:space="preserve"> geographic location, sampling</w:t>
      </w:r>
      <w:r>
        <w:rPr>
          <w:bCs/>
        </w:rPr>
        <w:t xml:space="preserve"> </w:t>
      </w:r>
      <w:r w:rsidRPr="00D419A6">
        <w:rPr>
          <w:rFonts w:eastAsia="Calibri"/>
          <w:bCs/>
        </w:rPr>
        <w:t xml:space="preserve">methodology, </w:t>
      </w:r>
      <w:r w:rsidR="00396B5D">
        <w:rPr>
          <w:rFonts w:eastAsia="Calibri"/>
          <w:bCs/>
        </w:rPr>
        <w:t xml:space="preserve">and </w:t>
      </w:r>
      <w:r w:rsidRPr="00D419A6">
        <w:rPr>
          <w:rFonts w:eastAsia="Calibri"/>
          <w:bCs/>
        </w:rPr>
        <w:t xml:space="preserve">potential explanation </w:t>
      </w:r>
      <w:r w:rsidR="00396B5D">
        <w:rPr>
          <w:rFonts w:eastAsia="Calibri"/>
          <w:bCs/>
        </w:rPr>
        <w:t>of</w:t>
      </w:r>
      <w:r w:rsidR="00396B5D" w:rsidRPr="00D419A6">
        <w:rPr>
          <w:rFonts w:eastAsia="Calibri"/>
          <w:bCs/>
        </w:rPr>
        <w:t xml:space="preserve"> </w:t>
      </w:r>
      <w:r w:rsidRPr="00D419A6">
        <w:rPr>
          <w:rFonts w:eastAsia="Calibri"/>
          <w:bCs/>
        </w:rPr>
        <w:t>anomalous data)</w:t>
      </w:r>
      <w:r w:rsidR="001E5641">
        <w:rPr>
          <w:rFonts w:eastAsia="Calibri"/>
          <w:bCs/>
        </w:rPr>
        <w:t>.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spacing w:after="0" w:line="240" w:lineRule="auto"/>
        <w:rPr>
          <w:rFonts w:eastAsia="Calibri"/>
          <w:bCs/>
        </w:rPr>
      </w:pPr>
      <w:r w:rsidRPr="00D419A6">
        <w:rPr>
          <w:rFonts w:eastAsia="Calibri"/>
          <w:bCs/>
        </w:rPr>
        <w:t>Describe calculation and standardization (if performed) of abundance indices</w:t>
      </w:r>
      <w:r w:rsidR="001E5641">
        <w:rPr>
          <w:rFonts w:eastAsia="Calibri"/>
          <w:bCs/>
        </w:rPr>
        <w:t xml:space="preserve"> and other statistics </w:t>
      </w:r>
      <w:r w:rsidR="00396B5D">
        <w:rPr>
          <w:rFonts w:eastAsia="Calibri"/>
          <w:bCs/>
        </w:rPr>
        <w:t>including</w:t>
      </w:r>
      <w:r w:rsidR="001E5641">
        <w:rPr>
          <w:rFonts w:eastAsia="Calibri"/>
          <w:bCs/>
        </w:rPr>
        <w:t xml:space="preserve"> measures of uncertainty</w:t>
      </w:r>
      <w:r w:rsidRPr="00D419A6">
        <w:rPr>
          <w:rFonts w:eastAsia="Calibri"/>
          <w:bCs/>
        </w:rPr>
        <w:t>.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spacing w:after="0" w:line="240" w:lineRule="auto"/>
        <w:rPr>
          <w:rFonts w:eastAsia="Calibri"/>
          <w:bCs/>
        </w:rPr>
      </w:pPr>
      <w:r w:rsidRPr="00D419A6">
        <w:rPr>
          <w:rFonts w:eastAsia="Calibri"/>
          <w:bCs/>
        </w:rPr>
        <w:t>Discuss trends and associated estimates of uncertainty (e.g.</w:t>
      </w:r>
      <w:r w:rsidR="001E5641">
        <w:rPr>
          <w:rFonts w:eastAsia="Calibri"/>
          <w:bCs/>
        </w:rPr>
        <w:t>,</w:t>
      </w:r>
      <w:r w:rsidRPr="00D419A6">
        <w:rPr>
          <w:rFonts w:eastAsia="Calibri"/>
          <w:bCs/>
        </w:rPr>
        <w:t xml:space="preserve"> standard errors)</w:t>
      </w:r>
      <w:r w:rsidR="007D4AF0">
        <w:rPr>
          <w:rFonts w:eastAsia="Calibri"/>
          <w:bCs/>
        </w:rPr>
        <w:t>.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spacing w:after="0" w:line="240" w:lineRule="auto"/>
        <w:rPr>
          <w:rFonts w:eastAsia="Calibri"/>
          <w:bCs/>
        </w:rPr>
      </w:pPr>
      <w:r w:rsidRPr="00D419A6">
        <w:rPr>
          <w:rFonts w:eastAsia="Calibri"/>
          <w:bCs/>
        </w:rPr>
        <w:t>Justify inclusion or elimination of available data sources.</w:t>
      </w:r>
      <w:r w:rsidR="004842E1">
        <w:rPr>
          <w:rFonts w:eastAsia="Calibri"/>
          <w:bCs/>
        </w:rPr>
        <w:t xml:space="preserve"> </w:t>
      </w:r>
    </w:p>
    <w:p w:rsidR="00971952" w:rsidRPr="00971952" w:rsidRDefault="00D419A6" w:rsidP="00971952">
      <w:pPr>
        <w:pStyle w:val="ListParagraph"/>
        <w:numPr>
          <w:ilvl w:val="1"/>
          <w:numId w:val="7"/>
        </w:numPr>
        <w:spacing w:line="240" w:lineRule="auto"/>
        <w:rPr>
          <w:bCs/>
        </w:rPr>
      </w:pPr>
      <w:r w:rsidRPr="00D419A6">
        <w:rPr>
          <w:rFonts w:eastAsia="Calibri"/>
          <w:bCs/>
        </w:rPr>
        <w:t>Discuss the effects of data strengths and weaknesses (e.g.</w:t>
      </w:r>
      <w:r w:rsidR="001E5641">
        <w:rPr>
          <w:rFonts w:eastAsia="Calibri"/>
          <w:bCs/>
        </w:rPr>
        <w:t>,</w:t>
      </w:r>
      <w:r w:rsidRPr="00D419A6">
        <w:rPr>
          <w:rFonts w:eastAsia="Calibri"/>
          <w:bCs/>
        </w:rPr>
        <w:t xml:space="preserve"> temporal and spatial</w:t>
      </w:r>
      <w:r>
        <w:rPr>
          <w:bCs/>
        </w:rPr>
        <w:t xml:space="preserve"> </w:t>
      </w:r>
      <w:r w:rsidRPr="00D419A6">
        <w:rPr>
          <w:rFonts w:eastAsia="Calibri"/>
          <w:bCs/>
        </w:rPr>
        <w:t xml:space="preserve">scale, gear </w:t>
      </w:r>
      <w:proofErr w:type="spellStart"/>
      <w:r w:rsidRPr="00D419A6">
        <w:rPr>
          <w:rFonts w:eastAsia="Calibri"/>
          <w:bCs/>
        </w:rPr>
        <w:t>selectivities</w:t>
      </w:r>
      <w:proofErr w:type="spellEnd"/>
      <w:r w:rsidRPr="00D419A6">
        <w:rPr>
          <w:rFonts w:eastAsia="Calibri"/>
          <w:bCs/>
        </w:rPr>
        <w:t xml:space="preserve">, aging consistency, </w:t>
      </w:r>
      <w:r w:rsidR="00396B5D" w:rsidRPr="00D419A6">
        <w:rPr>
          <w:rFonts w:eastAsia="Calibri"/>
          <w:bCs/>
        </w:rPr>
        <w:t>and sample</w:t>
      </w:r>
      <w:r w:rsidRPr="00D419A6">
        <w:rPr>
          <w:rFonts w:eastAsia="Calibri"/>
          <w:bCs/>
        </w:rPr>
        <w:t xml:space="preserve"> size) on model inputs and</w:t>
      </w:r>
      <w:r>
        <w:rPr>
          <w:bCs/>
        </w:rPr>
        <w:t xml:space="preserve"> </w:t>
      </w:r>
      <w:r w:rsidRPr="00D419A6">
        <w:rPr>
          <w:rFonts w:eastAsia="Calibri"/>
          <w:bCs/>
        </w:rPr>
        <w:t>outputs.</w:t>
      </w:r>
    </w:p>
    <w:p w:rsidR="00971952" w:rsidRDefault="00971952" w:rsidP="00971952">
      <w:pPr>
        <w:pStyle w:val="ListParagraph"/>
        <w:spacing w:line="240" w:lineRule="auto"/>
        <w:ind w:left="1440"/>
        <w:rPr>
          <w:bCs/>
        </w:rPr>
      </w:pPr>
    </w:p>
    <w:p w:rsidR="00605536" w:rsidRDefault="00605536" w:rsidP="00605536">
      <w:pPr>
        <w:pStyle w:val="ListParagraph"/>
        <w:numPr>
          <w:ilvl w:val="0"/>
          <w:numId w:val="7"/>
        </w:numPr>
        <w:spacing w:line="240" w:lineRule="auto"/>
        <w:rPr>
          <w:bCs/>
        </w:rPr>
      </w:pPr>
      <w:r>
        <w:rPr>
          <w:rFonts w:eastAsia="Calibri"/>
          <w:bCs/>
        </w:rPr>
        <w:t xml:space="preserve">Develop </w:t>
      </w:r>
      <w:r w:rsidRPr="00D419A6">
        <w:rPr>
          <w:rFonts w:eastAsia="Calibri"/>
          <w:bCs/>
        </w:rPr>
        <w:t>biological reference points</w:t>
      </w:r>
      <w:r>
        <w:rPr>
          <w:bCs/>
          <w:color w:val="C00000"/>
        </w:rPr>
        <w:t xml:space="preserve"> </w:t>
      </w:r>
      <w:r w:rsidRPr="00605536">
        <w:t>for</w:t>
      </w:r>
      <w:r>
        <w:rPr>
          <w:bCs/>
          <w:color w:val="C00000"/>
        </w:rPr>
        <w:t xml:space="preserve"> </w:t>
      </w:r>
      <w:r w:rsidRPr="00605536">
        <w:t>Atlantic sturgeon populations.</w:t>
      </w:r>
    </w:p>
    <w:p w:rsidR="00605536" w:rsidRDefault="00605536" w:rsidP="00605536">
      <w:pPr>
        <w:pStyle w:val="ListParagraph"/>
        <w:spacing w:line="240" w:lineRule="auto"/>
        <w:rPr>
          <w:bCs/>
          <w:color w:val="auto"/>
        </w:rPr>
      </w:pPr>
    </w:p>
    <w:p w:rsidR="00886C25" w:rsidRPr="00CE37BC" w:rsidRDefault="00971952" w:rsidP="00886C25">
      <w:pPr>
        <w:pStyle w:val="ListParagraph"/>
        <w:numPr>
          <w:ilvl w:val="0"/>
          <w:numId w:val="7"/>
        </w:numPr>
        <w:spacing w:line="240" w:lineRule="auto"/>
        <w:rPr>
          <w:bCs/>
          <w:color w:val="auto"/>
        </w:rPr>
      </w:pPr>
      <w:r w:rsidRPr="00CE37BC">
        <w:rPr>
          <w:bCs/>
          <w:color w:val="auto"/>
        </w:rPr>
        <w:t xml:space="preserve">Review existing estimates of </w:t>
      </w:r>
      <w:r w:rsidR="00396B5D">
        <w:rPr>
          <w:bCs/>
          <w:color w:val="auto"/>
        </w:rPr>
        <w:t xml:space="preserve">Atlantic </w:t>
      </w:r>
      <w:r w:rsidR="00A75248" w:rsidRPr="00CE37BC">
        <w:rPr>
          <w:bCs/>
          <w:color w:val="auto"/>
        </w:rPr>
        <w:t>sturgeon</w:t>
      </w:r>
      <w:r w:rsidRPr="00CE37BC">
        <w:rPr>
          <w:bCs/>
          <w:color w:val="auto"/>
        </w:rPr>
        <w:t xml:space="preserve"> bycatch (retained and discarded) and, if possible, develop a time-series of bycatch in monitored fisheries, and discuss the assumptions and applicability of such estimates to </w:t>
      </w:r>
      <w:r w:rsidR="004842E1" w:rsidRPr="00CE37BC">
        <w:rPr>
          <w:bCs/>
          <w:color w:val="auto"/>
        </w:rPr>
        <w:t>reference points</w:t>
      </w:r>
      <w:r w:rsidRPr="00CE37BC">
        <w:rPr>
          <w:bCs/>
          <w:color w:val="auto"/>
        </w:rPr>
        <w:t>.</w:t>
      </w:r>
    </w:p>
    <w:p w:rsidR="00971952" w:rsidRPr="00971952" w:rsidRDefault="00971952" w:rsidP="00971952">
      <w:pPr>
        <w:pStyle w:val="ListParagraph"/>
        <w:spacing w:line="240" w:lineRule="auto"/>
        <w:rPr>
          <w:bCs/>
        </w:rPr>
      </w:pPr>
    </w:p>
    <w:p w:rsidR="00740DC8" w:rsidRPr="00740DC8" w:rsidRDefault="00D419A6" w:rsidP="00D419A6">
      <w:pPr>
        <w:pStyle w:val="ListParagraph"/>
        <w:numPr>
          <w:ilvl w:val="0"/>
          <w:numId w:val="7"/>
        </w:numPr>
        <w:spacing w:line="240" w:lineRule="auto"/>
        <w:rPr>
          <w:bCs/>
        </w:rPr>
      </w:pPr>
      <w:r w:rsidRPr="00D419A6">
        <w:rPr>
          <w:rFonts w:eastAsia="Calibri"/>
          <w:bCs/>
        </w:rPr>
        <w:t xml:space="preserve">If possible, develop models to estimate population parameters (e.g., </w:t>
      </w:r>
      <w:r w:rsidR="00AD2FC2" w:rsidRPr="00AD2FC2">
        <w:rPr>
          <w:rFonts w:eastAsia="Calibri"/>
          <w:bCs/>
          <w:i/>
        </w:rPr>
        <w:t>F</w:t>
      </w:r>
      <w:r w:rsidRPr="00D419A6">
        <w:rPr>
          <w:rFonts w:eastAsia="Calibri"/>
          <w:bCs/>
        </w:rPr>
        <w:t xml:space="preserve"> or </w:t>
      </w:r>
      <w:r w:rsidR="00AD2FC2" w:rsidRPr="00AD2FC2">
        <w:rPr>
          <w:rFonts w:eastAsia="Calibri"/>
          <w:bCs/>
          <w:i/>
        </w:rPr>
        <w:t>Z</w:t>
      </w:r>
      <w:r w:rsidRPr="00D419A6">
        <w:rPr>
          <w:rFonts w:eastAsia="Calibri"/>
          <w:bCs/>
        </w:rPr>
        <w:t>, biomass,</w:t>
      </w:r>
      <w:r>
        <w:rPr>
          <w:bCs/>
        </w:rPr>
        <w:t xml:space="preserve"> </w:t>
      </w:r>
      <w:r w:rsidR="00396B5D">
        <w:rPr>
          <w:bCs/>
        </w:rPr>
        <w:t xml:space="preserve">and </w:t>
      </w:r>
      <w:r w:rsidRPr="00D419A6">
        <w:rPr>
          <w:rFonts w:eastAsia="Calibri"/>
          <w:bCs/>
        </w:rPr>
        <w:t>abundance</w:t>
      </w:r>
      <w:r w:rsidR="00396B5D" w:rsidRPr="00D419A6">
        <w:rPr>
          <w:rFonts w:eastAsia="Calibri"/>
          <w:bCs/>
        </w:rPr>
        <w:t>)</w:t>
      </w:r>
      <w:r w:rsidR="00396B5D">
        <w:rPr>
          <w:rFonts w:eastAsia="Calibri"/>
          <w:bCs/>
        </w:rPr>
        <w:t xml:space="preserve"> and </w:t>
      </w:r>
      <w:r w:rsidR="00396B5D">
        <w:rPr>
          <w:bCs/>
        </w:rPr>
        <w:t>a</w:t>
      </w:r>
      <w:r w:rsidR="00740DC8" w:rsidRPr="00D419A6">
        <w:rPr>
          <w:rFonts w:eastAsia="Calibri"/>
          <w:bCs/>
        </w:rPr>
        <w:t>nalyze model performance and stability.</w:t>
      </w:r>
    </w:p>
    <w:p w:rsidR="00C43C34" w:rsidRPr="00D419A6" w:rsidRDefault="00C43C34" w:rsidP="00C43C34">
      <w:pPr>
        <w:pStyle w:val="ListParagraph"/>
        <w:spacing w:after="0" w:line="240" w:lineRule="auto"/>
        <w:ind w:left="1440"/>
        <w:rPr>
          <w:rFonts w:eastAsia="Calibri"/>
          <w:bCs/>
        </w:rPr>
      </w:pPr>
    </w:p>
    <w:p w:rsidR="00D419A6" w:rsidRDefault="00D419A6" w:rsidP="00E06964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bCs/>
        </w:rPr>
      </w:pPr>
      <w:r w:rsidRPr="00D419A6">
        <w:rPr>
          <w:rFonts w:eastAsia="Calibri"/>
          <w:bCs/>
        </w:rPr>
        <w:t>State assumptions made for model</w:t>
      </w:r>
      <w:r w:rsidR="00C43C34">
        <w:rPr>
          <w:bCs/>
        </w:rPr>
        <w:t>s</w:t>
      </w:r>
      <w:r w:rsidRPr="00D419A6">
        <w:rPr>
          <w:rFonts w:eastAsia="Calibri"/>
          <w:bCs/>
        </w:rPr>
        <w:t xml:space="preserve"> and for calculations of indices and </w:t>
      </w:r>
      <w:r w:rsidR="001E5641">
        <w:rPr>
          <w:rFonts w:eastAsia="Calibri"/>
          <w:bCs/>
        </w:rPr>
        <w:t>other statistics</w:t>
      </w:r>
      <w:r w:rsidR="007D4AF0">
        <w:rPr>
          <w:rFonts w:eastAsia="Calibri"/>
          <w:bCs/>
        </w:rPr>
        <w:t>.</w:t>
      </w:r>
      <w:r w:rsidR="00484247">
        <w:rPr>
          <w:rFonts w:eastAsia="Calibri"/>
          <w:bCs/>
        </w:rPr>
        <w:t xml:space="preserve"> </w:t>
      </w:r>
      <w:r w:rsidR="007D4AF0">
        <w:rPr>
          <w:rFonts w:eastAsia="Calibri"/>
          <w:bCs/>
        </w:rPr>
        <w:t>E</w:t>
      </w:r>
      <w:r w:rsidR="007D4AF0" w:rsidRPr="00D419A6">
        <w:rPr>
          <w:rFonts w:eastAsia="Calibri"/>
          <w:bCs/>
        </w:rPr>
        <w:t xml:space="preserve">xplain </w:t>
      </w:r>
      <w:r w:rsidRPr="00D419A6">
        <w:rPr>
          <w:rFonts w:eastAsia="Calibri"/>
          <w:bCs/>
        </w:rPr>
        <w:t>the likely effects of assumption violations on synthesis of input data</w:t>
      </w:r>
      <w:r>
        <w:rPr>
          <w:bCs/>
        </w:rPr>
        <w:t xml:space="preserve"> </w:t>
      </w:r>
      <w:r w:rsidRPr="00D419A6">
        <w:rPr>
          <w:rFonts w:eastAsia="Calibri"/>
          <w:bCs/>
        </w:rPr>
        <w:t xml:space="preserve">and model outputs. </w:t>
      </w:r>
    </w:p>
    <w:p w:rsidR="00E06964" w:rsidRPr="00D419A6" w:rsidRDefault="00E06964" w:rsidP="00E06964">
      <w:pPr>
        <w:pStyle w:val="ListParagraph"/>
        <w:spacing w:after="0" w:line="240" w:lineRule="auto"/>
        <w:rPr>
          <w:rFonts w:eastAsia="Calibri"/>
          <w:bCs/>
        </w:rPr>
      </w:pPr>
    </w:p>
    <w:p w:rsidR="00D419A6" w:rsidRPr="00D419A6" w:rsidRDefault="00D419A6" w:rsidP="00D419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Where possible, assess stock status based on biological characteristics, including not but</w:t>
      </w:r>
      <w:r>
        <w:rPr>
          <w:rFonts w:eastAsia="Calibri"/>
          <w:color w:val="auto"/>
          <w:szCs w:val="24"/>
          <w:lang w:bidi="ar-SA"/>
        </w:rPr>
        <w:t xml:space="preserve"> </w:t>
      </w:r>
      <w:r w:rsidRPr="00D419A6">
        <w:rPr>
          <w:rFonts w:eastAsia="Calibri"/>
          <w:color w:val="auto"/>
          <w:szCs w:val="24"/>
          <w:lang w:bidi="ar-SA"/>
        </w:rPr>
        <w:t>not limited to: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Trends in age and size structure</w:t>
      </w:r>
    </w:p>
    <w:p w:rsidR="00D419A6" w:rsidRDefault="00071B30" w:rsidP="00D419A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>
        <w:rPr>
          <w:rFonts w:eastAsia="Calibri"/>
          <w:color w:val="auto"/>
          <w:szCs w:val="24"/>
          <w:lang w:bidi="ar-SA"/>
        </w:rPr>
        <w:t>T</w:t>
      </w:r>
      <w:r w:rsidR="00D419A6" w:rsidRPr="00D419A6">
        <w:rPr>
          <w:rFonts w:eastAsia="Calibri"/>
          <w:color w:val="auto"/>
          <w:szCs w:val="24"/>
          <w:lang w:bidi="ar-SA"/>
        </w:rPr>
        <w:t xml:space="preserve">rends in </w:t>
      </w:r>
      <w:r>
        <w:rPr>
          <w:rFonts w:eastAsia="Calibri"/>
          <w:color w:val="auto"/>
          <w:szCs w:val="24"/>
          <w:lang w:bidi="ar-SA"/>
        </w:rPr>
        <w:t xml:space="preserve">temporal </w:t>
      </w:r>
      <w:r w:rsidR="00D419A6" w:rsidRPr="00D419A6">
        <w:rPr>
          <w:rFonts w:eastAsia="Calibri"/>
          <w:color w:val="auto"/>
          <w:szCs w:val="24"/>
          <w:lang w:bidi="ar-SA"/>
        </w:rPr>
        <w:t>indicators of abundance</w:t>
      </w:r>
    </w:p>
    <w:p w:rsidR="00D419A6" w:rsidRPr="00D419A6" w:rsidRDefault="00D419A6" w:rsidP="00D419A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Calibri"/>
          <w:color w:val="auto"/>
          <w:szCs w:val="24"/>
          <w:lang w:bidi="ar-SA"/>
        </w:rPr>
      </w:pPr>
    </w:p>
    <w:p w:rsidR="00D419A6" w:rsidRDefault="00D419A6" w:rsidP="00D419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Characterize uncertainty of model estimates and biological or empirical reference points.</w:t>
      </w:r>
    </w:p>
    <w:p w:rsidR="00D419A6" w:rsidRPr="00D419A6" w:rsidRDefault="00D419A6" w:rsidP="00D419A6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</w:p>
    <w:p w:rsidR="00591C0B" w:rsidRPr="00591C0B" w:rsidRDefault="00D419A6" w:rsidP="00591C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Recommend stock status as related to reference points (if available). For example: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Is the stock below the biomass threshold?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Is mortality above the threshold?</w:t>
      </w:r>
    </w:p>
    <w:p w:rsidR="00D419A6" w:rsidRDefault="00D419A6" w:rsidP="00D419A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Is the index above or below a reference index value?</w:t>
      </w:r>
    </w:p>
    <w:p w:rsidR="00D419A6" w:rsidRPr="00D419A6" w:rsidRDefault="00D419A6" w:rsidP="00D419A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eastAsia="Calibri"/>
          <w:color w:val="auto"/>
          <w:szCs w:val="24"/>
          <w:lang w:bidi="ar-SA"/>
        </w:rPr>
      </w:pPr>
    </w:p>
    <w:p w:rsidR="00D419A6" w:rsidRDefault="00D419A6" w:rsidP="00D419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Other potential scientific issues:</w:t>
      </w:r>
    </w:p>
    <w:p w:rsidR="00D419A6" w:rsidRPr="00D419A6" w:rsidRDefault="00D419A6" w:rsidP="00D419A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Compare reference points derived in this assessment with what is known about</w:t>
      </w:r>
      <w:r>
        <w:rPr>
          <w:rFonts w:eastAsia="Calibri"/>
          <w:color w:val="auto"/>
          <w:szCs w:val="24"/>
          <w:lang w:bidi="ar-SA"/>
        </w:rPr>
        <w:t xml:space="preserve"> </w:t>
      </w:r>
      <w:r w:rsidRPr="00D419A6">
        <w:rPr>
          <w:rFonts w:eastAsia="Calibri"/>
          <w:color w:val="auto"/>
          <w:szCs w:val="24"/>
          <w:lang w:bidi="ar-SA"/>
        </w:rPr>
        <w:t xml:space="preserve">the general life history of the </w:t>
      </w:r>
      <w:r w:rsidR="004422AC">
        <w:rPr>
          <w:rFonts w:eastAsia="Calibri"/>
          <w:color w:val="auto"/>
          <w:szCs w:val="24"/>
          <w:lang w:bidi="ar-SA"/>
        </w:rPr>
        <w:t>population unit</w:t>
      </w:r>
      <w:r w:rsidRPr="00D419A6">
        <w:rPr>
          <w:rFonts w:eastAsia="Calibri"/>
          <w:color w:val="auto"/>
          <w:szCs w:val="24"/>
          <w:lang w:bidi="ar-SA"/>
        </w:rPr>
        <w:t>. Explain any inconsistencies.</w:t>
      </w:r>
    </w:p>
    <w:p w:rsidR="00D419A6" w:rsidRDefault="00D419A6" w:rsidP="00D419A6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</w:p>
    <w:p w:rsidR="00D419A6" w:rsidRPr="00D419A6" w:rsidRDefault="00D419A6" w:rsidP="00D419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  <w:r w:rsidRPr="00D419A6">
        <w:rPr>
          <w:rFonts w:eastAsia="Calibri"/>
          <w:color w:val="auto"/>
          <w:szCs w:val="24"/>
          <w:lang w:bidi="ar-SA"/>
        </w:rPr>
        <w:t>Develop detailed short and long-term prioritized lists of recommendations for future</w:t>
      </w:r>
      <w:r>
        <w:rPr>
          <w:rFonts w:eastAsia="Calibri"/>
          <w:color w:val="auto"/>
          <w:szCs w:val="24"/>
          <w:lang w:bidi="ar-SA"/>
        </w:rPr>
        <w:t xml:space="preserve"> </w:t>
      </w:r>
      <w:r w:rsidRPr="00D419A6">
        <w:rPr>
          <w:rFonts w:eastAsia="Calibri"/>
          <w:color w:val="auto"/>
          <w:szCs w:val="24"/>
          <w:lang w:bidi="ar-SA"/>
        </w:rPr>
        <w:t>research, data collection, and assessment methodology. Highlight improvements to be</w:t>
      </w:r>
      <w:r>
        <w:rPr>
          <w:rFonts w:eastAsia="Calibri"/>
          <w:color w:val="auto"/>
          <w:szCs w:val="24"/>
          <w:lang w:bidi="ar-SA"/>
        </w:rPr>
        <w:t xml:space="preserve"> </w:t>
      </w:r>
      <w:r w:rsidRPr="00D419A6">
        <w:rPr>
          <w:rFonts w:eastAsia="Calibri"/>
          <w:color w:val="auto"/>
          <w:szCs w:val="24"/>
          <w:lang w:bidi="ar-SA"/>
        </w:rPr>
        <w:t>made by next benchmark review.</w:t>
      </w:r>
    </w:p>
    <w:p w:rsidR="00D419A6" w:rsidRDefault="00D419A6" w:rsidP="00D419A6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</w:p>
    <w:p w:rsidR="00D419A6" w:rsidRPr="00886C25" w:rsidRDefault="00D419A6" w:rsidP="00E069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E06964">
        <w:rPr>
          <w:rFonts w:eastAsia="Calibri"/>
          <w:color w:val="auto"/>
          <w:szCs w:val="24"/>
          <w:lang w:bidi="ar-SA"/>
        </w:rPr>
        <w:t>Recommend timing of next benchmark assessment and intermediate updates, if necessary</w:t>
      </w:r>
      <w:r w:rsidR="00E06964">
        <w:rPr>
          <w:rFonts w:eastAsia="Calibri"/>
          <w:color w:val="auto"/>
          <w:szCs w:val="24"/>
          <w:lang w:bidi="ar-SA"/>
        </w:rPr>
        <w:t>,</w:t>
      </w:r>
      <w:r w:rsidRPr="00E06964">
        <w:rPr>
          <w:rFonts w:eastAsia="Calibri"/>
          <w:color w:val="auto"/>
          <w:szCs w:val="24"/>
          <w:lang w:bidi="ar-SA"/>
        </w:rPr>
        <w:t xml:space="preserve"> relative to biology and current management of the species</w:t>
      </w:r>
      <w:r w:rsidR="00E06964" w:rsidRPr="00E06964">
        <w:rPr>
          <w:rFonts w:eastAsia="Calibri"/>
          <w:color w:val="auto"/>
          <w:szCs w:val="24"/>
          <w:lang w:bidi="ar-SA"/>
        </w:rPr>
        <w:t>.</w:t>
      </w:r>
    </w:p>
    <w:p w:rsidR="00886C25" w:rsidRDefault="00886C25" w:rsidP="00886C25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bidi="ar-SA"/>
        </w:rPr>
      </w:pPr>
    </w:p>
    <w:p w:rsidR="00886C25" w:rsidRPr="00E06964" w:rsidRDefault="00886C25" w:rsidP="00886C25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D419A6" w:rsidRDefault="00D419A6" w:rsidP="00D419A6">
      <w:pPr>
        <w:spacing w:after="0" w:line="240" w:lineRule="auto"/>
        <w:rPr>
          <w:b/>
          <w:bCs/>
        </w:rPr>
      </w:pPr>
      <w:r w:rsidRPr="00D419A6">
        <w:rPr>
          <w:rFonts w:eastAsia="Calibri"/>
          <w:b/>
          <w:bCs/>
        </w:rPr>
        <w:t>Terms of Reference for External Peer Review of</w:t>
      </w:r>
      <w:r w:rsidR="00A75248">
        <w:rPr>
          <w:rFonts w:eastAsia="Calibri"/>
          <w:b/>
          <w:bCs/>
        </w:rPr>
        <w:t xml:space="preserve"> Atlantic</w:t>
      </w:r>
      <w:r w:rsidRPr="00D419A6">
        <w:rPr>
          <w:rFonts w:eastAsia="Calibri"/>
          <w:b/>
          <w:bCs/>
        </w:rPr>
        <w:t xml:space="preserve"> </w:t>
      </w:r>
      <w:r w:rsidR="00A75248">
        <w:rPr>
          <w:rFonts w:eastAsia="Calibri"/>
          <w:b/>
          <w:bCs/>
        </w:rPr>
        <w:t>Sturgeon</w:t>
      </w:r>
      <w:r w:rsidRPr="00D419A6">
        <w:rPr>
          <w:rFonts w:eastAsia="Calibri"/>
          <w:b/>
          <w:bCs/>
        </w:rPr>
        <w:t xml:space="preserve"> Stock Assessments</w:t>
      </w:r>
    </w:p>
    <w:p w:rsidR="00D419A6" w:rsidRPr="00D419A6" w:rsidRDefault="00D419A6" w:rsidP="00D419A6">
      <w:pPr>
        <w:spacing w:after="0" w:line="240" w:lineRule="auto"/>
        <w:rPr>
          <w:rFonts w:eastAsia="Calibri"/>
          <w:b/>
          <w:bCs/>
        </w:rPr>
      </w:pPr>
    </w:p>
    <w:p w:rsidR="00CE37BC" w:rsidRPr="00702AB2" w:rsidRDefault="00CE37BC" w:rsidP="00CE37BC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</w:rPr>
      </w:pPr>
      <w:r>
        <w:rPr>
          <w:color w:val="auto"/>
        </w:rPr>
        <w:t>Evaluate appropriateness of population structure(s) defined in the assessment.</w:t>
      </w:r>
    </w:p>
    <w:p w:rsidR="00CE37BC" w:rsidRPr="00CE37BC" w:rsidRDefault="00CE37BC" w:rsidP="00CE37BC">
      <w:pPr>
        <w:pStyle w:val="ListParagraph"/>
        <w:spacing w:line="240" w:lineRule="auto"/>
      </w:pPr>
    </w:p>
    <w:p w:rsidR="00D419A6" w:rsidRDefault="00D419A6" w:rsidP="00C43C34">
      <w:pPr>
        <w:pStyle w:val="ListParagraph"/>
        <w:numPr>
          <w:ilvl w:val="0"/>
          <w:numId w:val="11"/>
        </w:numPr>
        <w:spacing w:line="240" w:lineRule="auto"/>
      </w:pPr>
      <w:r w:rsidRPr="00D419A6">
        <w:rPr>
          <w:rFonts w:eastAsia="Calibri"/>
        </w:rPr>
        <w:t>Evaluate the</w:t>
      </w:r>
      <w:r w:rsidR="00E06964">
        <w:rPr>
          <w:rFonts w:eastAsia="Calibri"/>
        </w:rPr>
        <w:t xml:space="preserve"> adequacy</w:t>
      </w:r>
      <w:r w:rsidR="001E5641">
        <w:rPr>
          <w:rFonts w:eastAsia="Calibri"/>
        </w:rPr>
        <w:t xml:space="preserve">, appropriateness, application </w:t>
      </w:r>
      <w:r w:rsidR="00E06964">
        <w:rPr>
          <w:rFonts w:eastAsia="Calibri"/>
        </w:rPr>
        <w:t>of the data used</w:t>
      </w:r>
      <w:r w:rsidR="00924247">
        <w:rPr>
          <w:rFonts w:eastAsia="Calibri"/>
        </w:rPr>
        <w:t>,</w:t>
      </w:r>
      <w:r w:rsidR="00E06964">
        <w:rPr>
          <w:rFonts w:eastAsia="Calibri"/>
        </w:rPr>
        <w:t xml:space="preserve"> and the</w:t>
      </w:r>
      <w:r w:rsidRPr="00D419A6">
        <w:rPr>
          <w:rFonts w:eastAsia="Calibri"/>
        </w:rPr>
        <w:t xml:space="preserve"> justification for inclusion or elimination of available data sources.</w:t>
      </w:r>
      <w:r w:rsidR="001E5641">
        <w:rPr>
          <w:rFonts w:eastAsia="Calibri"/>
        </w:rPr>
        <w:t xml:space="preserve"> Evaluate the methods used to calculate indices and other statistics and associated measures of dispersion.</w:t>
      </w:r>
    </w:p>
    <w:p w:rsidR="00C43C34" w:rsidRDefault="00C43C34" w:rsidP="00C43C34">
      <w:pPr>
        <w:pStyle w:val="ListParagraph"/>
        <w:spacing w:line="240" w:lineRule="auto"/>
      </w:pPr>
    </w:p>
    <w:p w:rsidR="00C43C34" w:rsidRDefault="00C43C34" w:rsidP="00C43C34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</w:rPr>
      </w:pPr>
      <w:r w:rsidRPr="00702AB2">
        <w:rPr>
          <w:color w:val="auto"/>
        </w:rPr>
        <w:t xml:space="preserve">Evaluate the estimates of bycatch </w:t>
      </w:r>
      <w:r w:rsidR="00A75248">
        <w:rPr>
          <w:color w:val="auto"/>
        </w:rPr>
        <w:t>of Atlantic sturgeon</w:t>
      </w:r>
      <w:r w:rsidRPr="00702AB2">
        <w:rPr>
          <w:color w:val="auto"/>
        </w:rPr>
        <w:t xml:space="preserve"> and the methods used to </w:t>
      </w:r>
      <w:r w:rsidR="00971952" w:rsidRPr="00702AB2">
        <w:rPr>
          <w:color w:val="auto"/>
        </w:rPr>
        <w:t>develop</w:t>
      </w:r>
      <w:r w:rsidRPr="00702AB2">
        <w:rPr>
          <w:color w:val="auto"/>
        </w:rPr>
        <w:t xml:space="preserve"> them.</w:t>
      </w:r>
    </w:p>
    <w:p w:rsidR="00D419A6" w:rsidRDefault="00D419A6" w:rsidP="00D419A6">
      <w:pPr>
        <w:spacing w:after="0" w:line="240" w:lineRule="auto"/>
      </w:pPr>
    </w:p>
    <w:p w:rsidR="00D419A6" w:rsidRDefault="00D419A6" w:rsidP="00C43C34">
      <w:pPr>
        <w:pStyle w:val="ListParagraph"/>
        <w:numPr>
          <w:ilvl w:val="0"/>
          <w:numId w:val="11"/>
        </w:numPr>
        <w:spacing w:after="0" w:line="240" w:lineRule="auto"/>
      </w:pPr>
      <w:r w:rsidRPr="00D419A6">
        <w:rPr>
          <w:rFonts w:eastAsia="Calibri"/>
        </w:rPr>
        <w:t>Evaluate the methods and models used to estimate population parameters (e.g.,</w:t>
      </w:r>
      <w:r w:rsidR="00924247" w:rsidRPr="00924247">
        <w:rPr>
          <w:rFonts w:eastAsia="Calibri"/>
          <w:bCs/>
          <w:i/>
        </w:rPr>
        <w:t xml:space="preserve"> </w:t>
      </w:r>
      <w:r w:rsidR="00924247" w:rsidRPr="00AD2FC2">
        <w:rPr>
          <w:rFonts w:eastAsia="Calibri"/>
          <w:bCs/>
          <w:i/>
        </w:rPr>
        <w:t>F</w:t>
      </w:r>
      <w:r w:rsidR="00924247">
        <w:rPr>
          <w:rFonts w:eastAsia="Calibri"/>
          <w:bCs/>
          <w:i/>
        </w:rPr>
        <w:t xml:space="preserve">, </w:t>
      </w:r>
      <w:r w:rsidRPr="00D419A6">
        <w:rPr>
          <w:rFonts w:eastAsia="Calibri"/>
        </w:rPr>
        <w:t xml:space="preserve"> </w:t>
      </w:r>
      <w:r w:rsidR="00AD2FC2" w:rsidRPr="00AD2FC2">
        <w:rPr>
          <w:rFonts w:eastAsia="Calibri"/>
          <w:i/>
        </w:rPr>
        <w:t>Z</w:t>
      </w:r>
      <w:r w:rsidRPr="00D419A6">
        <w:rPr>
          <w:rFonts w:eastAsia="Calibri"/>
        </w:rPr>
        <w:t>,</w:t>
      </w:r>
      <w:r>
        <w:t xml:space="preserve"> </w:t>
      </w:r>
      <w:r w:rsidRPr="00D419A6">
        <w:rPr>
          <w:rFonts w:eastAsia="Calibri"/>
        </w:rPr>
        <w:t>biomass, relative abundance) and biological reference points, including but not limited to:</w:t>
      </w:r>
    </w:p>
    <w:p w:rsidR="00D419A6" w:rsidRDefault="00D419A6" w:rsidP="00D419A6">
      <w:pPr>
        <w:spacing w:after="0" w:line="240" w:lineRule="auto"/>
      </w:pPr>
    </w:p>
    <w:p w:rsidR="00D419A6" w:rsidRPr="00D419A6" w:rsidRDefault="00D419A6" w:rsidP="00C43C34">
      <w:pPr>
        <w:pStyle w:val="ListParagraph"/>
        <w:numPr>
          <w:ilvl w:val="1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Evaluate the choice and justification of the preferred model(s) or method(s) of</w:t>
      </w:r>
      <w:r>
        <w:t xml:space="preserve"> </w:t>
      </w:r>
      <w:r w:rsidRPr="00D419A6">
        <w:rPr>
          <w:rFonts w:eastAsia="Calibri"/>
        </w:rPr>
        <w:t>calculation</w:t>
      </w:r>
      <w:r w:rsidR="00924247">
        <w:rPr>
          <w:rFonts w:eastAsia="Calibri"/>
        </w:rPr>
        <w:t xml:space="preserve"> (i.e., </w:t>
      </w:r>
      <w:r w:rsidRPr="00D419A6">
        <w:rPr>
          <w:rFonts w:eastAsia="Calibri"/>
        </w:rPr>
        <w:t xml:space="preserve"> </w:t>
      </w:r>
      <w:r w:rsidR="00924247">
        <w:rPr>
          <w:rFonts w:eastAsia="Calibri"/>
        </w:rPr>
        <w:t>w</w:t>
      </w:r>
      <w:r w:rsidR="00924247" w:rsidRPr="00D419A6">
        <w:rPr>
          <w:rFonts w:eastAsia="Calibri"/>
        </w:rPr>
        <w:t xml:space="preserve">as </w:t>
      </w:r>
      <w:r w:rsidRPr="00D419A6">
        <w:rPr>
          <w:rFonts w:eastAsia="Calibri"/>
        </w:rPr>
        <w:t>the most appropriate model or method chosen given available</w:t>
      </w:r>
      <w:r>
        <w:t xml:space="preserve"> </w:t>
      </w:r>
      <w:r w:rsidRPr="00D419A6">
        <w:rPr>
          <w:rFonts w:eastAsia="Calibri"/>
        </w:rPr>
        <w:t xml:space="preserve">data and </w:t>
      </w:r>
      <w:r>
        <w:t>l</w:t>
      </w:r>
      <w:r w:rsidRPr="00D419A6">
        <w:rPr>
          <w:rFonts w:eastAsia="Calibri"/>
        </w:rPr>
        <w:t>ife history of the species?</w:t>
      </w:r>
      <w:r w:rsidR="00924247">
        <w:rPr>
          <w:rFonts w:eastAsia="Calibri"/>
        </w:rPr>
        <w:t>).</w:t>
      </w:r>
    </w:p>
    <w:p w:rsidR="00D419A6" w:rsidRPr="00D419A6" w:rsidRDefault="00D419A6" w:rsidP="00C43C34">
      <w:pPr>
        <w:pStyle w:val="ListParagraph"/>
        <w:numPr>
          <w:ilvl w:val="1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If multiple models were considered, evaluate the analysts’ explanation of any</w:t>
      </w:r>
      <w:r>
        <w:t xml:space="preserve"> </w:t>
      </w:r>
      <w:r w:rsidRPr="00D419A6">
        <w:rPr>
          <w:rFonts w:eastAsia="Calibri"/>
        </w:rPr>
        <w:t>differences in results.</w:t>
      </w:r>
    </w:p>
    <w:p w:rsidR="00D419A6" w:rsidRPr="00D419A6" w:rsidRDefault="00D419A6" w:rsidP="00C43C34">
      <w:pPr>
        <w:pStyle w:val="ListParagraph"/>
        <w:numPr>
          <w:ilvl w:val="1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If appropriate, evaluate model parameterization and specification (e.g.</w:t>
      </w:r>
      <w:r w:rsidR="001E5641">
        <w:rPr>
          <w:rFonts w:eastAsia="Calibri"/>
        </w:rPr>
        <w:t>,</w:t>
      </w:r>
      <w:r w:rsidRPr="00D419A6">
        <w:rPr>
          <w:rFonts w:eastAsia="Calibri"/>
        </w:rPr>
        <w:t xml:space="preserve"> choice of</w:t>
      </w:r>
      <w:r>
        <w:t xml:space="preserve"> </w:t>
      </w:r>
      <w:r w:rsidRPr="00D419A6">
        <w:rPr>
          <w:rFonts w:eastAsia="Calibri"/>
        </w:rPr>
        <w:t>CVs, effective sample sizes, likelihood weighting schemes,</w:t>
      </w:r>
      <w:r>
        <w:t xml:space="preserve"> </w:t>
      </w:r>
      <w:r w:rsidRPr="00D419A6">
        <w:rPr>
          <w:rFonts w:eastAsia="Calibri"/>
        </w:rPr>
        <w:t xml:space="preserve">calculation/specification of </w:t>
      </w:r>
      <w:r w:rsidR="00AD2FC2" w:rsidRPr="00AD2FC2">
        <w:rPr>
          <w:rFonts w:eastAsia="Calibri"/>
          <w:i/>
        </w:rPr>
        <w:t>M</w:t>
      </w:r>
      <w:r w:rsidRPr="00D419A6">
        <w:rPr>
          <w:rFonts w:eastAsia="Calibri"/>
        </w:rPr>
        <w:t>, stock-recruitment relationship, choice of time</w:t>
      </w:r>
      <w:r>
        <w:t>-</w:t>
      </w:r>
      <w:r w:rsidRPr="00D419A6">
        <w:rPr>
          <w:rFonts w:eastAsia="Calibri"/>
        </w:rPr>
        <w:t>varying</w:t>
      </w:r>
      <w:r>
        <w:t xml:space="preserve"> </w:t>
      </w:r>
      <w:r w:rsidRPr="00D419A6">
        <w:rPr>
          <w:rFonts w:eastAsia="Calibri"/>
        </w:rPr>
        <w:t>parameters, plus group treatment).</w:t>
      </w:r>
    </w:p>
    <w:p w:rsidR="00D419A6" w:rsidRPr="00D419A6" w:rsidRDefault="00D419A6" w:rsidP="00C43C34">
      <w:pPr>
        <w:pStyle w:val="ListParagraph"/>
        <w:numPr>
          <w:ilvl w:val="1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Evaluate the diagnostic analyses performed, including but not limited to:</w:t>
      </w:r>
    </w:p>
    <w:p w:rsidR="00A301ED" w:rsidRDefault="00D419A6">
      <w:pPr>
        <w:pStyle w:val="ListParagraph"/>
        <w:numPr>
          <w:ilvl w:val="2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Sensitivity analyses to determine stability of estimates and potential</w:t>
      </w:r>
      <w:r>
        <w:t xml:space="preserve"> </w:t>
      </w:r>
      <w:r w:rsidRPr="00D419A6">
        <w:rPr>
          <w:rFonts w:eastAsia="Calibri"/>
        </w:rPr>
        <w:t>consequences of major model assumptions</w:t>
      </w:r>
    </w:p>
    <w:p w:rsidR="00A301ED" w:rsidRDefault="00D419A6">
      <w:pPr>
        <w:pStyle w:val="ListParagraph"/>
        <w:numPr>
          <w:ilvl w:val="2"/>
          <w:numId w:val="11"/>
        </w:numPr>
        <w:spacing w:after="0" w:line="240" w:lineRule="auto"/>
      </w:pPr>
      <w:r w:rsidRPr="00D419A6">
        <w:rPr>
          <w:rFonts w:eastAsia="Calibri"/>
        </w:rPr>
        <w:lastRenderedPageBreak/>
        <w:t>Retrospective analysis</w:t>
      </w:r>
    </w:p>
    <w:p w:rsidR="00C43C34" w:rsidRDefault="00C43C34" w:rsidP="00C43C34">
      <w:pPr>
        <w:pStyle w:val="ListParagraph"/>
        <w:spacing w:after="0" w:line="240" w:lineRule="auto"/>
        <w:ind w:left="1440"/>
      </w:pPr>
    </w:p>
    <w:p w:rsidR="00D419A6" w:rsidRPr="00D419A6" w:rsidRDefault="00D419A6" w:rsidP="00C43C34">
      <w:pPr>
        <w:pStyle w:val="ListParagraph"/>
        <w:numPr>
          <w:ilvl w:val="0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Evaluate the methods used to characterize uncertainty in estimated parameters. Ensure</w:t>
      </w:r>
      <w:r>
        <w:t xml:space="preserve"> </w:t>
      </w:r>
      <w:r w:rsidRPr="00D419A6">
        <w:rPr>
          <w:rFonts w:eastAsia="Calibri"/>
        </w:rPr>
        <w:t>that the implications of uncertainty in technical conclusions are clearly stated.</w:t>
      </w:r>
    </w:p>
    <w:p w:rsidR="00D419A6" w:rsidRDefault="00D419A6" w:rsidP="00D419A6">
      <w:pPr>
        <w:spacing w:after="0" w:line="240" w:lineRule="auto"/>
      </w:pPr>
    </w:p>
    <w:p w:rsidR="00D419A6" w:rsidRPr="00D419A6" w:rsidRDefault="00D419A6" w:rsidP="00C43C34">
      <w:pPr>
        <w:pStyle w:val="ListParagraph"/>
        <w:numPr>
          <w:ilvl w:val="0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Evaluate recommended estimates of stock biomass, abundance (relative or absolute),</w:t>
      </w:r>
      <w:r>
        <w:t xml:space="preserve"> </w:t>
      </w:r>
      <w:r w:rsidRPr="00D419A6">
        <w:rPr>
          <w:rFonts w:eastAsia="Calibri"/>
        </w:rPr>
        <w:t>mortality, and the choice of reference points from the assessment for use in management,</w:t>
      </w:r>
      <w:r>
        <w:t xml:space="preserve"> </w:t>
      </w:r>
      <w:r w:rsidRPr="00D419A6">
        <w:rPr>
          <w:rFonts w:eastAsia="Calibri"/>
        </w:rPr>
        <w:t>if possible, or, if appropriate, recommend changes or specify alternative estimation</w:t>
      </w:r>
      <w:r>
        <w:t xml:space="preserve"> </w:t>
      </w:r>
      <w:r w:rsidRPr="00D419A6">
        <w:rPr>
          <w:rFonts w:eastAsia="Calibri"/>
        </w:rPr>
        <w:t>methods.</w:t>
      </w:r>
    </w:p>
    <w:p w:rsidR="00D419A6" w:rsidRDefault="00D419A6" w:rsidP="00D419A6">
      <w:pPr>
        <w:spacing w:after="0" w:line="240" w:lineRule="auto"/>
      </w:pPr>
    </w:p>
    <w:p w:rsidR="00D419A6" w:rsidRPr="00D419A6" w:rsidRDefault="00D419A6" w:rsidP="00C43C34">
      <w:pPr>
        <w:pStyle w:val="ListParagraph"/>
        <w:numPr>
          <w:ilvl w:val="0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Evaluate stock status determination from the assessment, or, if appropriate, recommend</w:t>
      </w:r>
      <w:r>
        <w:t xml:space="preserve"> </w:t>
      </w:r>
      <w:r w:rsidRPr="00D419A6">
        <w:rPr>
          <w:rFonts w:eastAsia="Calibri"/>
        </w:rPr>
        <w:t>changes or specify alternative methods/measures.</w:t>
      </w:r>
    </w:p>
    <w:p w:rsidR="00D419A6" w:rsidRDefault="00D419A6" w:rsidP="00D419A6">
      <w:pPr>
        <w:spacing w:after="0" w:line="240" w:lineRule="auto"/>
      </w:pPr>
    </w:p>
    <w:p w:rsidR="00AF17AC" w:rsidRDefault="00D419A6" w:rsidP="00D419A6">
      <w:pPr>
        <w:pStyle w:val="ListParagraph"/>
        <w:numPr>
          <w:ilvl w:val="0"/>
          <w:numId w:val="11"/>
        </w:numPr>
        <w:spacing w:after="0" w:line="240" w:lineRule="auto"/>
        <w:rPr>
          <w:rFonts w:eastAsia="Calibri"/>
        </w:rPr>
      </w:pPr>
      <w:r w:rsidRPr="00D419A6">
        <w:rPr>
          <w:rFonts w:eastAsia="Calibri"/>
        </w:rPr>
        <w:t>Review the research, data collection, and assessment methodology recommendations and</w:t>
      </w:r>
      <w:r>
        <w:t xml:space="preserve"> </w:t>
      </w:r>
      <w:r w:rsidRPr="00D419A6">
        <w:rPr>
          <w:rFonts w:eastAsia="Calibri"/>
        </w:rPr>
        <w:t>make any additional recommendations warranted. Clearly prioritize the activities needed</w:t>
      </w:r>
      <w:r>
        <w:t xml:space="preserve"> </w:t>
      </w:r>
      <w:r w:rsidRPr="00D419A6">
        <w:rPr>
          <w:rFonts w:eastAsia="Calibri"/>
        </w:rPr>
        <w:t>to inform and maintain the current assessment, and provide recommendations to improve</w:t>
      </w:r>
      <w:r>
        <w:t xml:space="preserve"> </w:t>
      </w:r>
      <w:r w:rsidRPr="00D419A6">
        <w:rPr>
          <w:rFonts w:eastAsia="Calibri"/>
        </w:rPr>
        <w:t>the</w:t>
      </w:r>
      <w:r>
        <w:t xml:space="preserve"> </w:t>
      </w:r>
      <w:r w:rsidRPr="00D419A6">
        <w:rPr>
          <w:rFonts w:eastAsia="Calibri"/>
        </w:rPr>
        <w:t>reliability of future assessments.</w:t>
      </w:r>
    </w:p>
    <w:p w:rsidR="00E06964" w:rsidRPr="00E06964" w:rsidRDefault="00E06964" w:rsidP="00E06964">
      <w:pPr>
        <w:spacing w:after="0" w:line="240" w:lineRule="auto"/>
        <w:rPr>
          <w:rFonts w:eastAsia="Calibri"/>
        </w:rPr>
      </w:pPr>
    </w:p>
    <w:sectPr w:rsidR="00E06964" w:rsidRPr="00E06964" w:rsidSect="00591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DB" w:rsidRDefault="00C22BDB" w:rsidP="003E3B7F">
      <w:pPr>
        <w:spacing w:after="0" w:line="240" w:lineRule="auto"/>
      </w:pPr>
      <w:r>
        <w:separator/>
      </w:r>
    </w:p>
  </w:endnote>
  <w:endnote w:type="continuationSeparator" w:id="0">
    <w:p w:rsidR="00C22BDB" w:rsidRDefault="00C22BDB" w:rsidP="003E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F" w:rsidRDefault="003E3B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F" w:rsidRDefault="003E3B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F" w:rsidRDefault="003E3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DB" w:rsidRDefault="00C22BDB" w:rsidP="003E3B7F">
      <w:pPr>
        <w:spacing w:after="0" w:line="240" w:lineRule="auto"/>
      </w:pPr>
      <w:r>
        <w:separator/>
      </w:r>
    </w:p>
  </w:footnote>
  <w:footnote w:type="continuationSeparator" w:id="0">
    <w:p w:rsidR="00C22BDB" w:rsidRDefault="00C22BDB" w:rsidP="003E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F" w:rsidRDefault="003E3B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F" w:rsidRDefault="003E3B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7F" w:rsidRDefault="003E3B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F1F"/>
    <w:multiLevelType w:val="multilevel"/>
    <w:tmpl w:val="0218C77C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1BA4BE8"/>
    <w:multiLevelType w:val="hybridMultilevel"/>
    <w:tmpl w:val="74880736"/>
    <w:lvl w:ilvl="0" w:tplc="42647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013E8"/>
    <w:multiLevelType w:val="hybridMultilevel"/>
    <w:tmpl w:val="A846282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667072A"/>
    <w:multiLevelType w:val="hybridMultilevel"/>
    <w:tmpl w:val="92B0F1EE"/>
    <w:lvl w:ilvl="0" w:tplc="F82C6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2E33"/>
    <w:multiLevelType w:val="hybridMultilevel"/>
    <w:tmpl w:val="4CC48506"/>
    <w:lvl w:ilvl="0" w:tplc="CF266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61CAF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83957"/>
    <w:multiLevelType w:val="hybridMultilevel"/>
    <w:tmpl w:val="0C28D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72C35"/>
    <w:multiLevelType w:val="hybridMultilevel"/>
    <w:tmpl w:val="C48C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36D0B"/>
    <w:multiLevelType w:val="hybridMultilevel"/>
    <w:tmpl w:val="E0384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5AB8BE7E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0644C4"/>
    <w:multiLevelType w:val="hybridMultilevel"/>
    <w:tmpl w:val="BA44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9A6"/>
    <w:rsid w:val="00004F04"/>
    <w:rsid w:val="00005731"/>
    <w:rsid w:val="00005B3F"/>
    <w:rsid w:val="0001176E"/>
    <w:rsid w:val="00026666"/>
    <w:rsid w:val="00044AFE"/>
    <w:rsid w:val="00045013"/>
    <w:rsid w:val="00046396"/>
    <w:rsid w:val="00047452"/>
    <w:rsid w:val="00051790"/>
    <w:rsid w:val="00052669"/>
    <w:rsid w:val="00056C30"/>
    <w:rsid w:val="00064AB6"/>
    <w:rsid w:val="00071B30"/>
    <w:rsid w:val="00084580"/>
    <w:rsid w:val="0009419B"/>
    <w:rsid w:val="000A3987"/>
    <w:rsid w:val="000B63F9"/>
    <w:rsid w:val="000C1B2D"/>
    <w:rsid w:val="000C6608"/>
    <w:rsid w:val="000D1675"/>
    <w:rsid w:val="000E7404"/>
    <w:rsid w:val="000F665F"/>
    <w:rsid w:val="0010110A"/>
    <w:rsid w:val="00124F02"/>
    <w:rsid w:val="00131BE5"/>
    <w:rsid w:val="00133FF3"/>
    <w:rsid w:val="001532BD"/>
    <w:rsid w:val="00166467"/>
    <w:rsid w:val="00167721"/>
    <w:rsid w:val="00180E67"/>
    <w:rsid w:val="00183945"/>
    <w:rsid w:val="0018426E"/>
    <w:rsid w:val="001A6A8C"/>
    <w:rsid w:val="001C4847"/>
    <w:rsid w:val="001D38ED"/>
    <w:rsid w:val="001D7B01"/>
    <w:rsid w:val="001E5641"/>
    <w:rsid w:val="001E7F41"/>
    <w:rsid w:val="001F0140"/>
    <w:rsid w:val="001F0F4B"/>
    <w:rsid w:val="001F2DF9"/>
    <w:rsid w:val="001F3C41"/>
    <w:rsid w:val="001F4FCC"/>
    <w:rsid w:val="002145C8"/>
    <w:rsid w:val="00221CD1"/>
    <w:rsid w:val="00232F81"/>
    <w:rsid w:val="0023512E"/>
    <w:rsid w:val="00241240"/>
    <w:rsid w:val="00261555"/>
    <w:rsid w:val="00262138"/>
    <w:rsid w:val="0026650D"/>
    <w:rsid w:val="00266A2E"/>
    <w:rsid w:val="00296865"/>
    <w:rsid w:val="002A2E42"/>
    <w:rsid w:val="002A5012"/>
    <w:rsid w:val="002B4146"/>
    <w:rsid w:val="002C41F1"/>
    <w:rsid w:val="002C6003"/>
    <w:rsid w:val="002D2F1D"/>
    <w:rsid w:val="002E4390"/>
    <w:rsid w:val="002F06D7"/>
    <w:rsid w:val="003130F3"/>
    <w:rsid w:val="0032398F"/>
    <w:rsid w:val="00326205"/>
    <w:rsid w:val="00337BFB"/>
    <w:rsid w:val="003440FC"/>
    <w:rsid w:val="00344712"/>
    <w:rsid w:val="003467F7"/>
    <w:rsid w:val="003665CB"/>
    <w:rsid w:val="00366DC8"/>
    <w:rsid w:val="0036788A"/>
    <w:rsid w:val="00374B70"/>
    <w:rsid w:val="00381926"/>
    <w:rsid w:val="00396B5D"/>
    <w:rsid w:val="003A3006"/>
    <w:rsid w:val="003A568C"/>
    <w:rsid w:val="003C2A82"/>
    <w:rsid w:val="003D26EE"/>
    <w:rsid w:val="003D40C6"/>
    <w:rsid w:val="003D54BB"/>
    <w:rsid w:val="003E3B7F"/>
    <w:rsid w:val="003F17C6"/>
    <w:rsid w:val="00404D5F"/>
    <w:rsid w:val="00414EB4"/>
    <w:rsid w:val="004168B4"/>
    <w:rsid w:val="00423C15"/>
    <w:rsid w:val="004247BD"/>
    <w:rsid w:val="00436632"/>
    <w:rsid w:val="0044030C"/>
    <w:rsid w:val="004422AC"/>
    <w:rsid w:val="00461CEF"/>
    <w:rsid w:val="0047077E"/>
    <w:rsid w:val="0048378F"/>
    <w:rsid w:val="00484247"/>
    <w:rsid w:val="004842E1"/>
    <w:rsid w:val="00492935"/>
    <w:rsid w:val="00497821"/>
    <w:rsid w:val="004A195D"/>
    <w:rsid w:val="004A23D9"/>
    <w:rsid w:val="004B0202"/>
    <w:rsid w:val="004B0A5C"/>
    <w:rsid w:val="004B1BC3"/>
    <w:rsid w:val="004B2264"/>
    <w:rsid w:val="004B6BBC"/>
    <w:rsid w:val="004C02A3"/>
    <w:rsid w:val="004C2F69"/>
    <w:rsid w:val="004D2BBA"/>
    <w:rsid w:val="004E425F"/>
    <w:rsid w:val="005067C0"/>
    <w:rsid w:val="00506D96"/>
    <w:rsid w:val="00510879"/>
    <w:rsid w:val="00522B21"/>
    <w:rsid w:val="0052505D"/>
    <w:rsid w:val="00535A0A"/>
    <w:rsid w:val="0054270E"/>
    <w:rsid w:val="00552F54"/>
    <w:rsid w:val="00557753"/>
    <w:rsid w:val="00561704"/>
    <w:rsid w:val="0056302F"/>
    <w:rsid w:val="00576257"/>
    <w:rsid w:val="00581E39"/>
    <w:rsid w:val="00591C0B"/>
    <w:rsid w:val="005922B3"/>
    <w:rsid w:val="00594598"/>
    <w:rsid w:val="005A0AFD"/>
    <w:rsid w:val="005A1F1C"/>
    <w:rsid w:val="005A3873"/>
    <w:rsid w:val="005C0E41"/>
    <w:rsid w:val="005C2D19"/>
    <w:rsid w:val="005C6CAE"/>
    <w:rsid w:val="005D1AC4"/>
    <w:rsid w:val="005D59FE"/>
    <w:rsid w:val="005F12CF"/>
    <w:rsid w:val="00602276"/>
    <w:rsid w:val="00605536"/>
    <w:rsid w:val="00613921"/>
    <w:rsid w:val="00615DAB"/>
    <w:rsid w:val="00626E89"/>
    <w:rsid w:val="00627FF7"/>
    <w:rsid w:val="006456AA"/>
    <w:rsid w:val="00647E15"/>
    <w:rsid w:val="0065182C"/>
    <w:rsid w:val="00661F10"/>
    <w:rsid w:val="00665447"/>
    <w:rsid w:val="00680D49"/>
    <w:rsid w:val="006958E0"/>
    <w:rsid w:val="006974D3"/>
    <w:rsid w:val="006A1700"/>
    <w:rsid w:val="006A71EA"/>
    <w:rsid w:val="006A7D2D"/>
    <w:rsid w:val="006B0E85"/>
    <w:rsid w:val="006B4864"/>
    <w:rsid w:val="006D0E9F"/>
    <w:rsid w:val="006D2850"/>
    <w:rsid w:val="006D6547"/>
    <w:rsid w:val="006E190F"/>
    <w:rsid w:val="006E5651"/>
    <w:rsid w:val="006E60EC"/>
    <w:rsid w:val="006E61FA"/>
    <w:rsid w:val="006F5ED4"/>
    <w:rsid w:val="00702AB2"/>
    <w:rsid w:val="007037BC"/>
    <w:rsid w:val="00713CF3"/>
    <w:rsid w:val="007145ED"/>
    <w:rsid w:val="00716FAA"/>
    <w:rsid w:val="0072309C"/>
    <w:rsid w:val="00740DC8"/>
    <w:rsid w:val="00745139"/>
    <w:rsid w:val="007718D6"/>
    <w:rsid w:val="00774196"/>
    <w:rsid w:val="0077494C"/>
    <w:rsid w:val="00780E5A"/>
    <w:rsid w:val="00781349"/>
    <w:rsid w:val="00781F77"/>
    <w:rsid w:val="007828A3"/>
    <w:rsid w:val="007844FF"/>
    <w:rsid w:val="00791BD0"/>
    <w:rsid w:val="007A0A0E"/>
    <w:rsid w:val="007A580A"/>
    <w:rsid w:val="007B0D90"/>
    <w:rsid w:val="007B1732"/>
    <w:rsid w:val="007C7361"/>
    <w:rsid w:val="007D151F"/>
    <w:rsid w:val="007D4AF0"/>
    <w:rsid w:val="007E1089"/>
    <w:rsid w:val="007E5900"/>
    <w:rsid w:val="007E61AD"/>
    <w:rsid w:val="007F0D9F"/>
    <w:rsid w:val="007F3239"/>
    <w:rsid w:val="007F518B"/>
    <w:rsid w:val="007F5EA4"/>
    <w:rsid w:val="00810BCB"/>
    <w:rsid w:val="00814ADF"/>
    <w:rsid w:val="00820A41"/>
    <w:rsid w:val="00821A8B"/>
    <w:rsid w:val="008356C4"/>
    <w:rsid w:val="00836CDA"/>
    <w:rsid w:val="00841F58"/>
    <w:rsid w:val="00865511"/>
    <w:rsid w:val="00872DFE"/>
    <w:rsid w:val="00873904"/>
    <w:rsid w:val="00882830"/>
    <w:rsid w:val="00884532"/>
    <w:rsid w:val="00886C25"/>
    <w:rsid w:val="00886C5A"/>
    <w:rsid w:val="008A70AA"/>
    <w:rsid w:val="008B5CE9"/>
    <w:rsid w:val="008D5E7F"/>
    <w:rsid w:val="008D7642"/>
    <w:rsid w:val="008E553A"/>
    <w:rsid w:val="008F2362"/>
    <w:rsid w:val="00904058"/>
    <w:rsid w:val="00915EA4"/>
    <w:rsid w:val="0091741D"/>
    <w:rsid w:val="00924247"/>
    <w:rsid w:val="00943D0C"/>
    <w:rsid w:val="00954EF3"/>
    <w:rsid w:val="00955636"/>
    <w:rsid w:val="009708DE"/>
    <w:rsid w:val="00971952"/>
    <w:rsid w:val="00997489"/>
    <w:rsid w:val="009A2136"/>
    <w:rsid w:val="009A3F12"/>
    <w:rsid w:val="009A5C5A"/>
    <w:rsid w:val="009B2115"/>
    <w:rsid w:val="009C78B6"/>
    <w:rsid w:val="009D536E"/>
    <w:rsid w:val="009D6E0A"/>
    <w:rsid w:val="009E59AA"/>
    <w:rsid w:val="009F01D4"/>
    <w:rsid w:val="009F268C"/>
    <w:rsid w:val="009F27AE"/>
    <w:rsid w:val="009F2DD9"/>
    <w:rsid w:val="009F3834"/>
    <w:rsid w:val="009F5A9A"/>
    <w:rsid w:val="00A106AA"/>
    <w:rsid w:val="00A11578"/>
    <w:rsid w:val="00A1602A"/>
    <w:rsid w:val="00A21ABB"/>
    <w:rsid w:val="00A233B9"/>
    <w:rsid w:val="00A2648E"/>
    <w:rsid w:val="00A301ED"/>
    <w:rsid w:val="00A32BAD"/>
    <w:rsid w:val="00A361F9"/>
    <w:rsid w:val="00A414E3"/>
    <w:rsid w:val="00A43B07"/>
    <w:rsid w:val="00A458F7"/>
    <w:rsid w:val="00A508F3"/>
    <w:rsid w:val="00A53AD9"/>
    <w:rsid w:val="00A54071"/>
    <w:rsid w:val="00A548C3"/>
    <w:rsid w:val="00A56573"/>
    <w:rsid w:val="00A6002F"/>
    <w:rsid w:val="00A60863"/>
    <w:rsid w:val="00A75248"/>
    <w:rsid w:val="00A87222"/>
    <w:rsid w:val="00AA435D"/>
    <w:rsid w:val="00AC0298"/>
    <w:rsid w:val="00AD2FC2"/>
    <w:rsid w:val="00AD4464"/>
    <w:rsid w:val="00AD6871"/>
    <w:rsid w:val="00AE039B"/>
    <w:rsid w:val="00AE12D9"/>
    <w:rsid w:val="00AE3911"/>
    <w:rsid w:val="00AF17AC"/>
    <w:rsid w:val="00B025EE"/>
    <w:rsid w:val="00B065A0"/>
    <w:rsid w:val="00B14A34"/>
    <w:rsid w:val="00B2117B"/>
    <w:rsid w:val="00B2580F"/>
    <w:rsid w:val="00B32739"/>
    <w:rsid w:val="00B33A6A"/>
    <w:rsid w:val="00B4192E"/>
    <w:rsid w:val="00B62DEF"/>
    <w:rsid w:val="00B62FB5"/>
    <w:rsid w:val="00B636EC"/>
    <w:rsid w:val="00B661D4"/>
    <w:rsid w:val="00B82FBF"/>
    <w:rsid w:val="00BB1D53"/>
    <w:rsid w:val="00BB22D7"/>
    <w:rsid w:val="00BC2808"/>
    <w:rsid w:val="00BC3AEC"/>
    <w:rsid w:val="00BC675E"/>
    <w:rsid w:val="00BD0093"/>
    <w:rsid w:val="00BD2495"/>
    <w:rsid w:val="00BE2EA7"/>
    <w:rsid w:val="00C047D0"/>
    <w:rsid w:val="00C07799"/>
    <w:rsid w:val="00C12FC1"/>
    <w:rsid w:val="00C165A4"/>
    <w:rsid w:val="00C22BDB"/>
    <w:rsid w:val="00C41CC8"/>
    <w:rsid w:val="00C43C34"/>
    <w:rsid w:val="00C44DA1"/>
    <w:rsid w:val="00C63D56"/>
    <w:rsid w:val="00C67AB7"/>
    <w:rsid w:val="00C73995"/>
    <w:rsid w:val="00C81911"/>
    <w:rsid w:val="00C83188"/>
    <w:rsid w:val="00CA1137"/>
    <w:rsid w:val="00CA496E"/>
    <w:rsid w:val="00CA68A1"/>
    <w:rsid w:val="00CD755E"/>
    <w:rsid w:val="00CE37BC"/>
    <w:rsid w:val="00CE64E1"/>
    <w:rsid w:val="00CF1D81"/>
    <w:rsid w:val="00CF3433"/>
    <w:rsid w:val="00D00E1C"/>
    <w:rsid w:val="00D01413"/>
    <w:rsid w:val="00D0264C"/>
    <w:rsid w:val="00D0266C"/>
    <w:rsid w:val="00D02A59"/>
    <w:rsid w:val="00D0572A"/>
    <w:rsid w:val="00D07014"/>
    <w:rsid w:val="00D20382"/>
    <w:rsid w:val="00D253AD"/>
    <w:rsid w:val="00D26334"/>
    <w:rsid w:val="00D31A69"/>
    <w:rsid w:val="00D31AD4"/>
    <w:rsid w:val="00D419A6"/>
    <w:rsid w:val="00D460FE"/>
    <w:rsid w:val="00D47DF3"/>
    <w:rsid w:val="00D54450"/>
    <w:rsid w:val="00D62732"/>
    <w:rsid w:val="00D66E84"/>
    <w:rsid w:val="00D67984"/>
    <w:rsid w:val="00D73344"/>
    <w:rsid w:val="00D778D1"/>
    <w:rsid w:val="00D91CF1"/>
    <w:rsid w:val="00D93313"/>
    <w:rsid w:val="00DA7F06"/>
    <w:rsid w:val="00DB0826"/>
    <w:rsid w:val="00DB174A"/>
    <w:rsid w:val="00DB1A5D"/>
    <w:rsid w:val="00DD5B20"/>
    <w:rsid w:val="00DE6B60"/>
    <w:rsid w:val="00DF44CF"/>
    <w:rsid w:val="00E02B2B"/>
    <w:rsid w:val="00E06964"/>
    <w:rsid w:val="00E06C61"/>
    <w:rsid w:val="00E216A3"/>
    <w:rsid w:val="00E32FFD"/>
    <w:rsid w:val="00E360AA"/>
    <w:rsid w:val="00E41995"/>
    <w:rsid w:val="00E61842"/>
    <w:rsid w:val="00E635D1"/>
    <w:rsid w:val="00E70772"/>
    <w:rsid w:val="00E8179F"/>
    <w:rsid w:val="00E82B7A"/>
    <w:rsid w:val="00E8625C"/>
    <w:rsid w:val="00E92F66"/>
    <w:rsid w:val="00EA6B5B"/>
    <w:rsid w:val="00EA7106"/>
    <w:rsid w:val="00EB043C"/>
    <w:rsid w:val="00EB3C5D"/>
    <w:rsid w:val="00EB5D0F"/>
    <w:rsid w:val="00EC0CA5"/>
    <w:rsid w:val="00ED3211"/>
    <w:rsid w:val="00ED3738"/>
    <w:rsid w:val="00ED3B3F"/>
    <w:rsid w:val="00ED5C56"/>
    <w:rsid w:val="00ED5C5E"/>
    <w:rsid w:val="00EF5493"/>
    <w:rsid w:val="00EF55E8"/>
    <w:rsid w:val="00F01671"/>
    <w:rsid w:val="00F1044F"/>
    <w:rsid w:val="00F13219"/>
    <w:rsid w:val="00F20D8A"/>
    <w:rsid w:val="00F25659"/>
    <w:rsid w:val="00F336B8"/>
    <w:rsid w:val="00F4641F"/>
    <w:rsid w:val="00F57E7F"/>
    <w:rsid w:val="00F6238B"/>
    <w:rsid w:val="00F64114"/>
    <w:rsid w:val="00F8497E"/>
    <w:rsid w:val="00F87108"/>
    <w:rsid w:val="00FB3399"/>
    <w:rsid w:val="00FD7F58"/>
    <w:rsid w:val="00FE4080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3F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98F"/>
    <w:pPr>
      <w:keepNext/>
      <w:keepLines/>
      <w:numPr>
        <w:numId w:val="3"/>
      </w:numPr>
      <w:spacing w:before="480" w:after="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98F"/>
    <w:pPr>
      <w:keepNext/>
      <w:keepLines/>
      <w:numPr>
        <w:ilvl w:val="1"/>
        <w:numId w:val="3"/>
      </w:numPr>
      <w:spacing w:before="200" w:after="0"/>
      <w:outlineLvl w:val="1"/>
    </w:pPr>
    <w:rPr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98F"/>
    <w:pPr>
      <w:keepNext/>
      <w:keepLines/>
      <w:numPr>
        <w:ilvl w:val="2"/>
        <w:numId w:val="3"/>
      </w:numPr>
      <w:spacing w:before="200" w:after="0"/>
      <w:outlineLvl w:val="2"/>
    </w:pPr>
    <w:rPr>
      <w:bCs/>
      <w:i/>
      <w:color w:val="auto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398F"/>
    <w:pPr>
      <w:keepNext/>
      <w:keepLines/>
      <w:numPr>
        <w:ilvl w:val="3"/>
        <w:numId w:val="3"/>
      </w:numPr>
      <w:spacing w:before="200" w:after="0"/>
      <w:outlineLvl w:val="3"/>
    </w:pPr>
    <w:rPr>
      <w:b/>
      <w:bCs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3904"/>
    <w:rPr>
      <w:rFonts w:ascii="Times New Roman" w:eastAsia="Times New Roman" w:hAnsi="Times New Roman" w:cs="Times New Roman"/>
      <w:b/>
      <w:bCs/>
      <w:color w:val="000000"/>
      <w:sz w:val="24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73904"/>
    <w:rPr>
      <w:rFonts w:ascii="Times New Roman" w:eastAsia="Times New Roman" w:hAnsi="Times New Roman" w:cs="Times New Roman"/>
      <w:bCs/>
      <w:color w:val="000000"/>
      <w:sz w:val="24"/>
      <w:szCs w:val="26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A106AA"/>
    <w:pPr>
      <w:spacing w:line="240" w:lineRule="auto"/>
    </w:pPr>
    <w:rPr>
      <w:rFonts w:cs="Calibri"/>
      <w:b/>
      <w:bCs/>
      <w:color w:val="auto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D38ED"/>
    <w:rPr>
      <w:rFonts w:ascii="Times New Roman" w:eastAsia="Times New Roman" w:hAnsi="Times New Roman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98F"/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41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2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362"/>
    <w:rPr>
      <w:rFonts w:ascii="Times New Roman" w:eastAsia="Times New Roman" w:hAnsi="Times New Roman"/>
      <w:color w:val="00000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362"/>
    <w:rPr>
      <w:rFonts w:ascii="Times New Roman" w:eastAsia="Times New Roman" w:hAnsi="Times New Roman"/>
      <w:b/>
      <w:bCs/>
      <w:color w:val="00000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E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B7F"/>
    <w:rPr>
      <w:rFonts w:ascii="Times New Roman" w:eastAsia="Times New Roman" w:hAnsi="Times New Roman"/>
      <w:color w:val="000000"/>
      <w:sz w:val="24"/>
      <w:szCs w:val="22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3E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B7F"/>
    <w:rPr>
      <w:rFonts w:ascii="Times New Roman" w:eastAsia="Times New Roman" w:hAnsi="Times New Roman"/>
      <w:color w:val="000000"/>
      <w:sz w:val="24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AECF-0188-4ED7-A0C8-C9A00BDE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Drew</dc:creator>
  <cp:lastModifiedBy>Laney, Wilson</cp:lastModifiedBy>
  <cp:revision>2</cp:revision>
  <cp:lastPrinted>2014-01-31T20:21:00Z</cp:lastPrinted>
  <dcterms:created xsi:type="dcterms:W3CDTF">2014-03-04T17:28:00Z</dcterms:created>
  <dcterms:modified xsi:type="dcterms:W3CDTF">2014-03-04T17:28:00Z</dcterms:modified>
</cp:coreProperties>
</file>