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BC" w:rsidRPr="00EB367C" w:rsidRDefault="005528BC" w:rsidP="005528BC">
      <w:pPr>
        <w:rPr>
          <w:b/>
          <w:sz w:val="28"/>
          <w:szCs w:val="22"/>
          <w:u w:val="single"/>
        </w:rPr>
      </w:pPr>
      <w:bookmarkStart w:id="0" w:name="_GoBack"/>
      <w:bookmarkEnd w:id="0"/>
      <w:r w:rsidRPr="00EB367C">
        <w:rPr>
          <w:b/>
          <w:sz w:val="28"/>
          <w:szCs w:val="22"/>
          <w:u w:val="single"/>
        </w:rPr>
        <w:t>King Mackerel</w:t>
      </w:r>
    </w:p>
    <w:p w:rsidR="005528BC" w:rsidRPr="00EB367C" w:rsidRDefault="005528BC" w:rsidP="005528BC">
      <w:pPr>
        <w:jc w:val="center"/>
        <w:rPr>
          <w:sz w:val="28"/>
          <w:szCs w:val="22"/>
          <w:u w:val="single"/>
        </w:rPr>
      </w:pPr>
    </w:p>
    <w:p w:rsidR="005528B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Preliminary landings of king mackerel from the Southeast Fisheries Science Center (SEFSC) Quota Monitoring System.   </w:t>
      </w:r>
      <w:r>
        <w:rPr>
          <w:sz w:val="28"/>
          <w:szCs w:val="22"/>
        </w:rPr>
        <w:t xml:space="preserve">Landings through </w:t>
      </w:r>
      <w:r w:rsidR="00280065">
        <w:rPr>
          <w:sz w:val="28"/>
          <w:szCs w:val="22"/>
        </w:rPr>
        <w:t>September 21</w:t>
      </w:r>
      <w:r>
        <w:rPr>
          <w:sz w:val="28"/>
          <w:szCs w:val="22"/>
        </w:rPr>
        <w:t>, 2017.  Fishing year begins March 1.</w:t>
      </w:r>
    </w:p>
    <w:p w:rsidR="005528BC" w:rsidRDefault="005528BC" w:rsidP="005528BC">
      <w:pPr>
        <w:rPr>
          <w:sz w:val="28"/>
          <w:szCs w:val="22"/>
        </w:rPr>
      </w:pPr>
      <w:r>
        <w:rPr>
          <w:sz w:val="28"/>
          <w:szCs w:val="22"/>
        </w:rPr>
        <w:t xml:space="preserve">Atlantic Group </w:t>
      </w:r>
      <w:r w:rsidRPr="00EB367C">
        <w:rPr>
          <w:sz w:val="28"/>
          <w:szCs w:val="22"/>
        </w:rPr>
        <w:t>ACL</w:t>
      </w:r>
      <w:r>
        <w:rPr>
          <w:sz w:val="28"/>
          <w:szCs w:val="22"/>
        </w:rPr>
        <w:t xml:space="preserve"> for 2017/2018</w:t>
      </w:r>
      <w:r w:rsidRPr="00EB367C">
        <w:rPr>
          <w:sz w:val="28"/>
          <w:szCs w:val="22"/>
        </w:rPr>
        <w:t xml:space="preserve"> = 5,900,000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</w:t>
      </w:r>
    </w:p>
    <w:p w:rsidR="005528B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Northern Zone Quota = 1,359,360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</w:t>
      </w:r>
    </w:p>
    <w:p w:rsidR="005528B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Southern Zone Quota = 4,540,640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</w:t>
      </w:r>
    </w:p>
    <w:p w:rsidR="005528BC" w:rsidRDefault="005528BC" w:rsidP="005528BC">
      <w:pPr>
        <w:ind w:firstLine="720"/>
        <w:rPr>
          <w:sz w:val="28"/>
          <w:szCs w:val="22"/>
        </w:rPr>
      </w:pPr>
      <w:r w:rsidRPr="00EB367C">
        <w:rPr>
          <w:sz w:val="28"/>
          <w:szCs w:val="22"/>
        </w:rPr>
        <w:t>Southern Zone Quota</w:t>
      </w:r>
      <w:r>
        <w:rPr>
          <w:sz w:val="28"/>
          <w:szCs w:val="22"/>
        </w:rPr>
        <w:t xml:space="preserve"> Season 1 (March 1-September 30): 2,724,384 </w:t>
      </w:r>
      <w:proofErr w:type="spellStart"/>
      <w:r>
        <w:rPr>
          <w:sz w:val="28"/>
          <w:szCs w:val="22"/>
        </w:rPr>
        <w:t>lbs</w:t>
      </w:r>
      <w:proofErr w:type="spellEnd"/>
      <w:r>
        <w:rPr>
          <w:sz w:val="28"/>
          <w:szCs w:val="22"/>
        </w:rPr>
        <w:t xml:space="preserve"> </w:t>
      </w:r>
    </w:p>
    <w:p w:rsidR="005528BC" w:rsidRDefault="005528BC" w:rsidP="005528BC">
      <w:pPr>
        <w:ind w:firstLine="720"/>
        <w:rPr>
          <w:sz w:val="28"/>
          <w:szCs w:val="22"/>
        </w:rPr>
      </w:pPr>
      <w:r>
        <w:rPr>
          <w:sz w:val="28"/>
          <w:szCs w:val="22"/>
        </w:rPr>
        <w:t xml:space="preserve">Southern Zone Quota Season 2 (October 1-end of February): 1,816,256 </w:t>
      </w:r>
      <w:proofErr w:type="spellStart"/>
      <w:r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</w:t>
      </w:r>
    </w:p>
    <w:p w:rsidR="005528BC" w:rsidRDefault="005528BC" w:rsidP="005528BC">
      <w:pPr>
        <w:ind w:firstLine="720"/>
        <w:rPr>
          <w:sz w:val="28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84"/>
        <w:gridCol w:w="1243"/>
        <w:gridCol w:w="1244"/>
        <w:gridCol w:w="1378"/>
        <w:gridCol w:w="759"/>
        <w:gridCol w:w="1800"/>
        <w:gridCol w:w="1621"/>
        <w:gridCol w:w="1531"/>
        <w:gridCol w:w="1816"/>
      </w:tblGrid>
      <w:tr w:rsidR="005528BC" w:rsidRPr="00300F33" w:rsidTr="00972AA9">
        <w:trPr>
          <w:trHeight w:val="288"/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323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Default="005528BC" w:rsidP="00972AA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Atlantic Group King Mackerel Landings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6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Report</w:t>
            </w:r>
          </w:p>
        </w:tc>
        <w:tc>
          <w:tcPr>
            <w:tcW w:w="146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8C2516" w:rsidRDefault="005528BC" w:rsidP="00972AA9">
            <w:pPr>
              <w:jc w:val="center"/>
              <w:rPr>
                <w:b/>
                <w:color w:val="000000"/>
                <w:szCs w:val="20"/>
              </w:rPr>
            </w:pPr>
            <w:r w:rsidRPr="008C2516">
              <w:rPr>
                <w:b/>
                <w:color w:val="000000"/>
                <w:szCs w:val="20"/>
              </w:rPr>
              <w:t>Historic Landings</w:t>
            </w:r>
          </w:p>
        </w:tc>
        <w:tc>
          <w:tcPr>
            <w:tcW w:w="2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8C2516" w:rsidRDefault="005528BC" w:rsidP="00972AA9">
            <w:pPr>
              <w:jc w:val="center"/>
              <w:rPr>
                <w:b/>
                <w:color w:val="000000"/>
                <w:szCs w:val="20"/>
              </w:rPr>
            </w:pPr>
            <w:r w:rsidRPr="008C2516">
              <w:rPr>
                <w:b/>
                <w:color w:val="000000"/>
                <w:szCs w:val="20"/>
              </w:rPr>
              <w:t>Current Year (2017/2018) Landings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67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  <w:hideMark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2014/2015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2015/2016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2016/2017*</w:t>
            </w:r>
          </w:p>
        </w:tc>
        <w:tc>
          <w:tcPr>
            <w:tcW w:w="2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5528BC" w:rsidRPr="00AA2FD0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AA2FD0">
              <w:rPr>
                <w:color w:val="000000"/>
                <w:szCs w:val="20"/>
              </w:rPr>
              <w:t>North</w:t>
            </w:r>
          </w:p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5528B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South</w:t>
            </w:r>
          </w:p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(Season 1)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South (Season 2)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5528B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Total</w:t>
            </w:r>
          </w:p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(North and South)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Total</w:t>
            </w:r>
            <w:r>
              <w:rPr>
                <w:b/>
                <w:color w:val="000000"/>
                <w:szCs w:val="20"/>
              </w:rPr>
              <w:t xml:space="preserve"> Landings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1,181,153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1,429,176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1,579,304</w:t>
            </w:r>
          </w:p>
        </w:tc>
        <w:tc>
          <w:tcPr>
            <w:tcW w:w="2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2E431A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31,880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8BC" w:rsidRPr="00EB367C" w:rsidRDefault="002E431A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1,4</w:t>
            </w:r>
            <w:r w:rsidR="00280065">
              <w:rPr>
                <w:b/>
                <w:color w:val="000000"/>
                <w:szCs w:val="20"/>
              </w:rPr>
              <w:t>5</w:t>
            </w:r>
            <w:r>
              <w:rPr>
                <w:b/>
                <w:color w:val="000000"/>
                <w:szCs w:val="20"/>
              </w:rPr>
              <w:t>8</w:t>
            </w:r>
            <w:r w:rsidR="00280065">
              <w:rPr>
                <w:b/>
                <w:color w:val="000000"/>
                <w:szCs w:val="20"/>
              </w:rPr>
              <w:t>,</w:t>
            </w:r>
            <w:r>
              <w:rPr>
                <w:b/>
                <w:color w:val="000000"/>
                <w:szCs w:val="20"/>
              </w:rPr>
              <w:t>470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716E6A" w:rsidRDefault="005528BC" w:rsidP="00972AA9">
            <w:pPr>
              <w:jc w:val="right"/>
              <w:rPr>
                <w:color w:val="000000"/>
                <w:szCs w:val="20"/>
              </w:rPr>
            </w:pPr>
            <w:r w:rsidRPr="00716E6A">
              <w:rPr>
                <w:color w:val="000000"/>
                <w:szCs w:val="20"/>
              </w:rPr>
              <w:t>n/a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280065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1,490,350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% quota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30.4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36.8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D61E13" w:rsidRDefault="005528BC" w:rsidP="00280065">
            <w:pPr>
              <w:jc w:val="right"/>
              <w:rPr>
                <w:b/>
                <w:color w:val="000000"/>
                <w:szCs w:val="20"/>
              </w:rPr>
            </w:pPr>
            <w:r w:rsidRPr="00D61E13">
              <w:rPr>
                <w:b/>
                <w:color w:val="000000"/>
                <w:szCs w:val="20"/>
              </w:rPr>
              <w:t>2.</w:t>
            </w:r>
            <w:r w:rsidR="00280065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8BC" w:rsidRPr="00EB367C" w:rsidRDefault="00280065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53.5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716E6A" w:rsidRDefault="005528BC" w:rsidP="00972AA9">
            <w:pPr>
              <w:jc w:val="right"/>
              <w:rPr>
                <w:color w:val="000000"/>
                <w:szCs w:val="20"/>
              </w:rPr>
            </w:pPr>
            <w:r w:rsidRPr="00716E6A">
              <w:rPr>
                <w:color w:val="000000"/>
                <w:szCs w:val="20"/>
              </w:rPr>
              <w:t>n/a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5.7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</w:tr>
    </w:tbl>
    <w:p w:rsidR="005528BC" w:rsidRPr="00674AC5" w:rsidRDefault="005528BC" w:rsidP="005528BC">
      <w:pPr>
        <w:rPr>
          <w:sz w:val="22"/>
          <w:szCs w:val="22"/>
        </w:rPr>
      </w:pPr>
      <w:r>
        <w:rPr>
          <w:sz w:val="22"/>
          <w:szCs w:val="22"/>
        </w:rPr>
        <w:t>*ACLs and quotas changed through the implementation of CMP Amendment 26 on May 11, 2017 (82 FR 17388).  The 2016/2017 ACL for the Atlantic Group= 6,500,000 (Northern Zone Quota=1,497,600, Southern Zone Quota 5,002,400)</w:t>
      </w:r>
      <w:r>
        <w:rPr>
          <w:u w:val="single"/>
        </w:rPr>
        <w:t xml:space="preserve">  </w:t>
      </w:r>
    </w:p>
    <w:p w:rsidR="005528BC" w:rsidRDefault="005528BC" w:rsidP="005528BC">
      <w:pPr>
        <w:rPr>
          <w:b/>
          <w:sz w:val="22"/>
          <w:szCs w:val="22"/>
          <w:u w:val="single"/>
        </w:rPr>
      </w:pPr>
    </w:p>
    <w:p w:rsidR="00517E90" w:rsidRDefault="00517E90">
      <w:pPr>
        <w:spacing w:after="200" w:line="276" w:lineRule="auto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br w:type="page"/>
      </w:r>
    </w:p>
    <w:p w:rsidR="005528BC" w:rsidRPr="00EB367C" w:rsidRDefault="005528BC" w:rsidP="005528BC">
      <w:pPr>
        <w:rPr>
          <w:b/>
          <w:sz w:val="28"/>
          <w:szCs w:val="22"/>
          <w:u w:val="single"/>
        </w:rPr>
      </w:pPr>
      <w:r w:rsidRPr="00EB367C">
        <w:rPr>
          <w:b/>
          <w:sz w:val="28"/>
          <w:szCs w:val="22"/>
          <w:u w:val="single"/>
        </w:rPr>
        <w:lastRenderedPageBreak/>
        <w:t xml:space="preserve">Spanish </w:t>
      </w:r>
      <w:proofErr w:type="gramStart"/>
      <w:r w:rsidRPr="00EB367C">
        <w:rPr>
          <w:b/>
          <w:sz w:val="28"/>
          <w:szCs w:val="22"/>
          <w:u w:val="single"/>
        </w:rPr>
        <w:t>Mackerel</w:t>
      </w:r>
      <w:proofErr w:type="gramEnd"/>
    </w:p>
    <w:p w:rsidR="005528BC" w:rsidRPr="00EB367C" w:rsidRDefault="005528BC" w:rsidP="005528BC">
      <w:pPr>
        <w:jc w:val="center"/>
        <w:rPr>
          <w:sz w:val="28"/>
          <w:szCs w:val="22"/>
          <w:u w:val="single"/>
        </w:rPr>
      </w:pPr>
    </w:p>
    <w:p w:rsidR="005528BC" w:rsidRPr="00EB367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>Preliminary landings of Spanish mackerel from the SEFSC Quota Monitoring System</w:t>
      </w:r>
      <w:r>
        <w:rPr>
          <w:sz w:val="28"/>
          <w:szCs w:val="22"/>
        </w:rPr>
        <w:t xml:space="preserve">.  </w:t>
      </w:r>
      <w:r w:rsidRPr="00EB367C">
        <w:rPr>
          <w:sz w:val="28"/>
          <w:szCs w:val="22"/>
        </w:rPr>
        <w:t xml:space="preserve">Landings through </w:t>
      </w:r>
      <w:r w:rsidR="00280065">
        <w:rPr>
          <w:sz w:val="28"/>
          <w:szCs w:val="22"/>
        </w:rPr>
        <w:t>September 21</w:t>
      </w:r>
      <w:r w:rsidR="00517E90">
        <w:rPr>
          <w:sz w:val="28"/>
          <w:szCs w:val="22"/>
        </w:rPr>
        <w:t>,</w:t>
      </w:r>
      <w:r w:rsidR="00AB03BE">
        <w:rPr>
          <w:sz w:val="28"/>
          <w:szCs w:val="22"/>
        </w:rPr>
        <w:t xml:space="preserve"> </w:t>
      </w:r>
      <w:r w:rsidR="00517E90">
        <w:rPr>
          <w:sz w:val="28"/>
          <w:szCs w:val="22"/>
        </w:rPr>
        <w:t>2017</w:t>
      </w:r>
      <w:r>
        <w:rPr>
          <w:sz w:val="28"/>
          <w:szCs w:val="22"/>
        </w:rPr>
        <w:t>. Fishing year begins March 1.</w:t>
      </w:r>
    </w:p>
    <w:p w:rsidR="005528B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ACL </w:t>
      </w:r>
      <w:r>
        <w:rPr>
          <w:sz w:val="28"/>
          <w:szCs w:val="22"/>
        </w:rPr>
        <w:t>for 2017/2018</w:t>
      </w:r>
      <w:r w:rsidRPr="00EB367C">
        <w:rPr>
          <w:sz w:val="28"/>
          <w:szCs w:val="22"/>
        </w:rPr>
        <w:t xml:space="preserve">= 3,330,000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</w:t>
      </w:r>
    </w:p>
    <w:p w:rsidR="005528B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Northern Quota = 662,670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</w:t>
      </w:r>
    </w:p>
    <w:p w:rsidR="005528BC" w:rsidRPr="00EB367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Southern Quota = 2,667,330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(Adjusted quota = 2,417,330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).  </w:t>
      </w:r>
    </w:p>
    <w:tbl>
      <w:tblPr>
        <w:tblW w:w="13088" w:type="dxa"/>
        <w:jc w:val="center"/>
        <w:tblLook w:val="04A0" w:firstRow="1" w:lastRow="0" w:firstColumn="1" w:lastColumn="0" w:noHBand="0" w:noVBand="1"/>
      </w:tblPr>
      <w:tblGrid>
        <w:gridCol w:w="1819"/>
        <w:gridCol w:w="1485"/>
        <w:gridCol w:w="1350"/>
        <w:gridCol w:w="1622"/>
        <w:gridCol w:w="924"/>
        <w:gridCol w:w="1780"/>
        <w:gridCol w:w="1863"/>
        <w:gridCol w:w="2245"/>
      </w:tblGrid>
      <w:tr w:rsidR="005528BC" w:rsidRPr="00300F33" w:rsidTr="00972AA9">
        <w:trPr>
          <w:trHeight w:val="288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2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Default="005528BC" w:rsidP="00972AA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Atlantic Group Spanish Mackerel Landings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1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Report</w:t>
            </w:r>
          </w:p>
        </w:tc>
        <w:tc>
          <w:tcPr>
            <w:tcW w:w="44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8C2516" w:rsidRDefault="005528BC" w:rsidP="00972AA9">
            <w:pPr>
              <w:jc w:val="center"/>
              <w:rPr>
                <w:b/>
                <w:color w:val="000000"/>
                <w:szCs w:val="20"/>
              </w:rPr>
            </w:pPr>
            <w:r w:rsidRPr="008C2516">
              <w:rPr>
                <w:b/>
                <w:color w:val="000000"/>
                <w:szCs w:val="20"/>
              </w:rPr>
              <w:t>Historical Landings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8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8C2516" w:rsidRDefault="005528BC" w:rsidP="00972AA9">
            <w:pPr>
              <w:jc w:val="center"/>
              <w:rPr>
                <w:b/>
                <w:color w:val="000000"/>
                <w:szCs w:val="20"/>
              </w:rPr>
            </w:pPr>
            <w:r w:rsidRPr="008C2516">
              <w:rPr>
                <w:b/>
                <w:color w:val="000000"/>
                <w:szCs w:val="20"/>
              </w:rPr>
              <w:t>Current Year (2017/2018) Landings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18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  <w:hideMark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2014/2015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2015/2016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2016/2017</w:t>
            </w:r>
          </w:p>
        </w:tc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North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South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EB367C" w:rsidRDefault="005528BC" w:rsidP="00972AA9">
            <w:pPr>
              <w:jc w:val="center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Total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1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Total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3,449,559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2,603,021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color w:val="000000"/>
                <w:szCs w:val="20"/>
              </w:rPr>
            </w:pPr>
            <w:r w:rsidRPr="00EB367C">
              <w:rPr>
                <w:color w:val="000000"/>
                <w:szCs w:val="20"/>
              </w:rPr>
              <w:t>3,137,196</w:t>
            </w:r>
          </w:p>
        </w:tc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bottom"/>
          </w:tcPr>
          <w:p w:rsidR="005528BC" w:rsidRPr="00EB367C" w:rsidRDefault="005528BC" w:rsidP="00972AA9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280065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524,130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280065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365,400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280065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889,530</w:t>
            </w: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1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center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% adjusted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517E90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</w:tr>
      <w:tr w:rsidR="005528BC" w:rsidRPr="00300F33" w:rsidTr="00972AA9">
        <w:trPr>
          <w:trHeight w:val="288"/>
          <w:jc w:val="center"/>
        </w:trPr>
        <w:tc>
          <w:tcPr>
            <w:tcW w:w="1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center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% quota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110.2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78.1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  <w:r w:rsidRPr="00EB367C">
              <w:rPr>
                <w:b/>
                <w:color w:val="000000"/>
                <w:szCs w:val="20"/>
              </w:rPr>
              <w:t>94.2</w:t>
            </w:r>
          </w:p>
        </w:tc>
        <w:tc>
          <w:tcPr>
            <w:tcW w:w="9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bottom"/>
          </w:tcPr>
          <w:p w:rsidR="005528BC" w:rsidRPr="00EB367C" w:rsidRDefault="005528BC" w:rsidP="00972AA9">
            <w:pPr>
              <w:jc w:val="right"/>
              <w:rPr>
                <w:b/>
                <w:color w:val="00000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528BC" w:rsidRPr="00EB367C" w:rsidRDefault="00280065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79.1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528BC" w:rsidRPr="00EB367C" w:rsidRDefault="00517E90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13.7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528BC" w:rsidRPr="00EB367C" w:rsidRDefault="00280065" w:rsidP="00972AA9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26.7</w:t>
            </w:r>
          </w:p>
        </w:tc>
      </w:tr>
    </w:tbl>
    <w:p w:rsidR="005528BC" w:rsidRDefault="005528BC" w:rsidP="005528BC">
      <w:pPr>
        <w:rPr>
          <w:sz w:val="22"/>
          <w:szCs w:val="22"/>
        </w:rPr>
      </w:pPr>
    </w:p>
    <w:p w:rsidR="005528BC" w:rsidRDefault="005528BC" w:rsidP="005528BC">
      <w:pPr>
        <w:rPr>
          <w:b/>
          <w:sz w:val="28"/>
          <w:szCs w:val="22"/>
          <w:u w:val="single"/>
        </w:rPr>
      </w:pPr>
    </w:p>
    <w:p w:rsidR="005528BC" w:rsidRPr="00EB367C" w:rsidRDefault="005528BC" w:rsidP="005528BC">
      <w:pPr>
        <w:rPr>
          <w:b/>
          <w:sz w:val="28"/>
          <w:szCs w:val="22"/>
          <w:u w:val="single"/>
        </w:rPr>
      </w:pPr>
      <w:r w:rsidRPr="00EB367C">
        <w:rPr>
          <w:b/>
          <w:sz w:val="28"/>
          <w:szCs w:val="22"/>
          <w:u w:val="single"/>
        </w:rPr>
        <w:t>Cobia</w:t>
      </w:r>
    </w:p>
    <w:p w:rsidR="005528BC" w:rsidRPr="00EB367C" w:rsidRDefault="005528BC" w:rsidP="005528BC">
      <w:pPr>
        <w:rPr>
          <w:sz w:val="28"/>
          <w:szCs w:val="22"/>
          <w:u w:val="single"/>
        </w:rPr>
      </w:pPr>
    </w:p>
    <w:p w:rsidR="005528BC" w:rsidRPr="00EB367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Preliminary landings of cobia from the SEFSC Quota Monitoring System.  Landings through </w:t>
      </w:r>
      <w:r w:rsidR="00280065">
        <w:rPr>
          <w:sz w:val="28"/>
          <w:szCs w:val="22"/>
        </w:rPr>
        <w:t>September 21</w:t>
      </w:r>
      <w:r w:rsidRPr="00EB367C">
        <w:rPr>
          <w:sz w:val="28"/>
          <w:szCs w:val="22"/>
        </w:rPr>
        <w:t>, 2017.</w:t>
      </w:r>
      <w:r>
        <w:rPr>
          <w:sz w:val="28"/>
          <w:szCs w:val="22"/>
        </w:rPr>
        <w:t xml:space="preserve">  Fishing year begins January 1.</w:t>
      </w:r>
    </w:p>
    <w:p w:rsidR="005528BC" w:rsidRDefault="005528BC" w:rsidP="005528BC">
      <w:pPr>
        <w:rPr>
          <w:sz w:val="28"/>
          <w:szCs w:val="22"/>
        </w:rPr>
      </w:pPr>
      <w:r w:rsidRPr="00EB367C">
        <w:rPr>
          <w:sz w:val="28"/>
          <w:szCs w:val="22"/>
        </w:rPr>
        <w:t xml:space="preserve">Atlantic </w:t>
      </w:r>
      <w:r>
        <w:rPr>
          <w:sz w:val="28"/>
          <w:szCs w:val="22"/>
        </w:rPr>
        <w:t xml:space="preserve">Group </w:t>
      </w:r>
      <w:r w:rsidRPr="00EB367C">
        <w:rPr>
          <w:sz w:val="28"/>
          <w:szCs w:val="22"/>
        </w:rPr>
        <w:t xml:space="preserve">Quota </w:t>
      </w:r>
      <w:r>
        <w:rPr>
          <w:sz w:val="28"/>
          <w:szCs w:val="22"/>
        </w:rPr>
        <w:t>for 2017</w:t>
      </w:r>
      <w:r w:rsidRPr="00EB367C">
        <w:rPr>
          <w:sz w:val="28"/>
          <w:szCs w:val="22"/>
        </w:rPr>
        <w:t xml:space="preserve">= 50,000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</w:t>
      </w:r>
    </w:p>
    <w:p w:rsidR="005528BC" w:rsidRPr="00E16FCD" w:rsidRDefault="005528BC" w:rsidP="005528BC">
      <w:r>
        <w:rPr>
          <w:sz w:val="28"/>
          <w:szCs w:val="22"/>
        </w:rPr>
        <w:t xml:space="preserve">Florida </w:t>
      </w:r>
      <w:r w:rsidRPr="00EB367C">
        <w:rPr>
          <w:sz w:val="28"/>
          <w:szCs w:val="22"/>
        </w:rPr>
        <w:t xml:space="preserve">East Coast Quota = 70,000 </w:t>
      </w:r>
      <w:proofErr w:type="spellStart"/>
      <w:r w:rsidRPr="00EB367C">
        <w:rPr>
          <w:sz w:val="28"/>
          <w:szCs w:val="22"/>
        </w:rPr>
        <w:t>lbs</w:t>
      </w:r>
      <w:proofErr w:type="spellEnd"/>
      <w:r w:rsidRPr="00EB367C">
        <w:rPr>
          <w:sz w:val="28"/>
          <w:szCs w:val="22"/>
        </w:rPr>
        <w:t xml:space="preserve">  </w:t>
      </w:r>
    </w:p>
    <w:tbl>
      <w:tblPr>
        <w:tblW w:w="13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8"/>
        <w:gridCol w:w="1710"/>
        <w:gridCol w:w="1890"/>
        <w:gridCol w:w="1980"/>
        <w:gridCol w:w="1890"/>
        <w:gridCol w:w="1710"/>
        <w:gridCol w:w="1691"/>
      </w:tblGrid>
      <w:tr w:rsidR="005528BC" w:rsidRPr="00674AC5" w:rsidTr="00517E90">
        <w:trPr>
          <w:trHeight w:val="288"/>
          <w:jc w:val="center"/>
        </w:trPr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5528BC" w:rsidRPr="00674AC5" w:rsidRDefault="005528BC" w:rsidP="00972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528BC" w:rsidRPr="008C2516" w:rsidRDefault="005528BC" w:rsidP="00972AA9">
            <w:pPr>
              <w:jc w:val="center"/>
              <w:rPr>
                <w:b/>
                <w:sz w:val="22"/>
                <w:szCs w:val="22"/>
              </w:rPr>
            </w:pPr>
            <w:r w:rsidRPr="008C2516">
              <w:rPr>
                <w:b/>
                <w:sz w:val="22"/>
                <w:szCs w:val="22"/>
              </w:rPr>
              <w:t>Atlantic Group (GA-NY)</w:t>
            </w:r>
          </w:p>
        </w:tc>
        <w:tc>
          <w:tcPr>
            <w:tcW w:w="529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5528BC" w:rsidRPr="008C2516" w:rsidRDefault="005528BC" w:rsidP="00972AA9">
            <w:pPr>
              <w:jc w:val="center"/>
              <w:rPr>
                <w:b/>
                <w:sz w:val="22"/>
                <w:szCs w:val="22"/>
              </w:rPr>
            </w:pPr>
            <w:r w:rsidRPr="008C2516">
              <w:rPr>
                <w:b/>
                <w:sz w:val="22"/>
                <w:szCs w:val="22"/>
              </w:rPr>
              <w:t>Florida East Coast Zone</w:t>
            </w:r>
          </w:p>
        </w:tc>
      </w:tr>
      <w:tr w:rsidR="00517E90" w:rsidRPr="00674AC5" w:rsidTr="00517E90">
        <w:trPr>
          <w:trHeight w:val="318"/>
          <w:jc w:val="center"/>
        </w:trPr>
        <w:tc>
          <w:tcPr>
            <w:tcW w:w="2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5528BC" w:rsidRPr="00674AC5" w:rsidRDefault="005528BC" w:rsidP="00972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674AC5" w:rsidRDefault="005528BC" w:rsidP="0097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674AC5" w:rsidRDefault="005528BC" w:rsidP="0097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674AC5" w:rsidRDefault="005528BC" w:rsidP="0097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Pr="00674AC5" w:rsidRDefault="005528BC" w:rsidP="00972AA9">
            <w:pPr>
              <w:jc w:val="center"/>
              <w:rPr>
                <w:sz w:val="22"/>
                <w:szCs w:val="22"/>
              </w:rPr>
            </w:pPr>
            <w:r w:rsidRPr="00674AC5">
              <w:rPr>
                <w:sz w:val="22"/>
                <w:szCs w:val="22"/>
              </w:rPr>
              <w:t>2015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Default="005528BC" w:rsidP="0097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528BC" w:rsidRDefault="005528BC" w:rsidP="00972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</w:tr>
      <w:tr w:rsidR="005528BC" w:rsidRPr="00674AC5" w:rsidTr="00517E90">
        <w:trPr>
          <w:trHeight w:val="288"/>
          <w:jc w:val="center"/>
        </w:trPr>
        <w:tc>
          <w:tcPr>
            <w:tcW w:w="2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D81924" w:rsidRDefault="005528BC" w:rsidP="00972A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Reported to SEFSC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8BC" w:rsidRPr="00F3753C" w:rsidRDefault="005528BC" w:rsidP="00972AA9">
            <w:pPr>
              <w:jc w:val="center"/>
              <w:rPr>
                <w:color w:val="000000"/>
              </w:rPr>
            </w:pPr>
            <w:r w:rsidRPr="00F3753C">
              <w:rPr>
                <w:color w:val="000000"/>
              </w:rPr>
              <w:t>50,054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F3753C" w:rsidRDefault="005528BC" w:rsidP="00972AA9">
            <w:pPr>
              <w:jc w:val="center"/>
              <w:rPr>
                <w:color w:val="000000"/>
              </w:rPr>
            </w:pPr>
            <w:r w:rsidRPr="00F3753C">
              <w:rPr>
                <w:color w:val="000000"/>
              </w:rPr>
              <w:t>48,743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F3753C" w:rsidRDefault="00280065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26,689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8BC" w:rsidRPr="00F3753C" w:rsidRDefault="005528BC" w:rsidP="00972AA9">
            <w:pPr>
              <w:jc w:val="center"/>
              <w:rPr>
                <w:color w:val="000000"/>
              </w:rPr>
            </w:pPr>
            <w:r w:rsidRPr="00F3753C">
              <w:rPr>
                <w:color w:val="000000"/>
              </w:rPr>
              <w:t>57,094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F3753C" w:rsidRDefault="005528BC" w:rsidP="00972AA9">
            <w:pPr>
              <w:jc w:val="center"/>
              <w:rPr>
                <w:color w:val="000000"/>
              </w:rPr>
            </w:pPr>
            <w:r w:rsidRPr="00F3753C">
              <w:rPr>
                <w:color w:val="000000"/>
              </w:rPr>
              <w:t>45,385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F3753C" w:rsidRDefault="00280065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29,082</w:t>
            </w:r>
          </w:p>
        </w:tc>
      </w:tr>
      <w:tr w:rsidR="005528BC" w:rsidRPr="00674AC5" w:rsidTr="00517E90">
        <w:trPr>
          <w:trHeight w:val="288"/>
          <w:jc w:val="center"/>
        </w:trPr>
        <w:tc>
          <w:tcPr>
            <w:tcW w:w="2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D81924" w:rsidRDefault="005528BC" w:rsidP="00972A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Reported to the States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8BC" w:rsidRPr="000648C8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21,736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28,906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Not available at this time.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2,672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Not available at this time.</w:t>
            </w:r>
          </w:p>
        </w:tc>
      </w:tr>
      <w:tr w:rsidR="005528BC" w:rsidRPr="00674AC5" w:rsidTr="00517E90">
        <w:trPr>
          <w:trHeight w:val="288"/>
          <w:jc w:val="center"/>
        </w:trPr>
        <w:tc>
          <w:tcPr>
            <w:tcW w:w="23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D81924" w:rsidRDefault="005528BC" w:rsidP="00972A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1924"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8BC" w:rsidRPr="000648C8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71,790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77,649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Default="005528BC" w:rsidP="00972AA9">
            <w:pP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59,766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46,129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</w:p>
        </w:tc>
      </w:tr>
      <w:tr w:rsidR="005528BC" w:rsidRPr="00674AC5" w:rsidTr="00517E90">
        <w:trPr>
          <w:trHeight w:val="288"/>
          <w:jc w:val="center"/>
        </w:trPr>
        <w:tc>
          <w:tcPr>
            <w:tcW w:w="23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528BC" w:rsidRPr="00D81924" w:rsidRDefault="005528BC" w:rsidP="00972AA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1924">
              <w:rPr>
                <w:b/>
                <w:color w:val="000000"/>
                <w:sz w:val="22"/>
                <w:szCs w:val="22"/>
              </w:rPr>
              <w:t>% quota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8BC" w:rsidRPr="000648C8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120%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155%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528BC" w:rsidRDefault="00280065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53.3%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85.4%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528BC" w:rsidRPr="00866621" w:rsidRDefault="005528BC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528BC" w:rsidRPr="00866621" w:rsidRDefault="00280065" w:rsidP="00972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41.5%</w:t>
            </w:r>
          </w:p>
        </w:tc>
      </w:tr>
    </w:tbl>
    <w:p w:rsidR="005528BC" w:rsidRDefault="005528BC" w:rsidP="005528BC">
      <w:r>
        <w:t>*There is no total ACL; the Florida East Coast Zone is part of the Gulf migratory group.  Total numbers are provided for comparison to previous years.</w:t>
      </w:r>
    </w:p>
    <w:p w:rsidR="005528BC" w:rsidRDefault="005528BC" w:rsidP="005528BC"/>
    <w:p w:rsidR="005528BC" w:rsidRDefault="005528BC" w:rsidP="005528BC"/>
    <w:p w:rsidR="005528BC" w:rsidRDefault="005528BC" w:rsidP="005528BC"/>
    <w:p w:rsidR="005528BC" w:rsidRDefault="005528BC" w:rsidP="005528BC"/>
    <w:p w:rsidR="0025323E" w:rsidRDefault="0025323E"/>
    <w:sectPr w:rsidR="0025323E" w:rsidSect="008D23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C"/>
    <w:rsid w:val="0025323E"/>
    <w:rsid w:val="00280065"/>
    <w:rsid w:val="002E431A"/>
    <w:rsid w:val="00517E90"/>
    <w:rsid w:val="005528BC"/>
    <w:rsid w:val="006C3A08"/>
    <w:rsid w:val="00AB03BE"/>
    <w:rsid w:val="00D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2B14D-C60B-43F5-874A-CA89514D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1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0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06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Gore</dc:creator>
  <cp:lastModifiedBy>Kari McLauchlin</cp:lastModifiedBy>
  <cp:revision>2</cp:revision>
  <cp:lastPrinted>2017-09-21T16:34:00Z</cp:lastPrinted>
  <dcterms:created xsi:type="dcterms:W3CDTF">2017-09-21T20:19:00Z</dcterms:created>
  <dcterms:modified xsi:type="dcterms:W3CDTF">2017-09-21T20:19:00Z</dcterms:modified>
</cp:coreProperties>
</file>