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1B" w:rsidRDefault="00BA6D1B" w:rsidP="005B3AE3">
      <w:pPr>
        <w:jc w:val="center"/>
      </w:pPr>
    </w:p>
    <w:p w:rsidR="005B3AE3" w:rsidRDefault="00653001" w:rsidP="005B3AE3">
      <w:pPr>
        <w:jc w:val="center"/>
      </w:pPr>
      <w:r>
        <w:rPr>
          <w:noProof/>
        </w:rPr>
      </w:r>
      <w:r>
        <w:rPr>
          <w:noProof/>
        </w:rPr>
        <w:pict>
          <v:roundrect id="AutoShape 843" o:spid="_x0000_s1026" style="width:489pt;height:363pt;visibility:visible;mso-position-horizontal-relative:char;mso-position-vertical-relative:line" arcsize="6811f" fillcolor="#4f81bd" strokecolor="#f2f2f2" strokeweight="3pt">
            <v:shadow on="t" color="#243f60" opacity=".5" offset="1pt,.74833mm"/>
            <v:textbox inset="18pt,18pt,18pt,18pt">
              <w:txbxContent>
                <w:p w:rsidR="00F317AF" w:rsidRPr="00BA6FF6" w:rsidRDefault="00CF5BD3" w:rsidP="00BA6FF6">
                  <w:pPr>
                    <w:jc w:val="center"/>
                    <w:rPr>
                      <w:noProof/>
                      <w:color w:val="FFFFFF" w:themeColor="background1"/>
                      <w:sz w:val="44"/>
                      <w:szCs w:val="44"/>
                    </w:rPr>
                  </w:pPr>
                  <w:r>
                    <w:rPr>
                      <w:noProof/>
                      <w:color w:val="FFFFFF" w:themeColor="background1"/>
                      <w:sz w:val="44"/>
                      <w:szCs w:val="44"/>
                    </w:rPr>
                    <w:t>Decision Document</w:t>
                  </w:r>
                </w:p>
                <w:p w:rsidR="00F317AF" w:rsidRPr="00BA6FF6" w:rsidRDefault="00F317AF" w:rsidP="005B3AE3">
                  <w:pPr>
                    <w:jc w:val="center"/>
                    <w:rPr>
                      <w:b/>
                      <w:color w:val="FFFF00"/>
                      <w:sz w:val="16"/>
                      <w:szCs w:val="16"/>
                    </w:rPr>
                  </w:pPr>
                </w:p>
                <w:p w:rsidR="00F317AF" w:rsidRPr="0004163C" w:rsidRDefault="00F317AF" w:rsidP="005B3AE3">
                  <w:pPr>
                    <w:jc w:val="center"/>
                    <w:rPr>
                      <w:b/>
                      <w:color w:val="FFFFFF"/>
                      <w:sz w:val="16"/>
                      <w:szCs w:val="16"/>
                    </w:rPr>
                  </w:pPr>
                </w:p>
                <w:p w:rsidR="00F317AF" w:rsidRPr="00F55886" w:rsidRDefault="00F317AF" w:rsidP="005B3AE3">
                  <w:pPr>
                    <w:jc w:val="center"/>
                    <w:rPr>
                      <w:color w:val="FFFFFF"/>
                      <w:sz w:val="72"/>
                      <w:szCs w:val="72"/>
                    </w:rPr>
                  </w:pPr>
                  <w:r w:rsidRPr="00F55886">
                    <w:rPr>
                      <w:color w:val="FFFFFF"/>
                      <w:sz w:val="72"/>
                      <w:szCs w:val="72"/>
                    </w:rPr>
                    <w:t xml:space="preserve">Coastal Migratory </w:t>
                  </w:r>
                  <w:proofErr w:type="spellStart"/>
                  <w:r w:rsidRPr="00F55886">
                    <w:rPr>
                      <w:color w:val="FFFFFF"/>
                      <w:sz w:val="72"/>
                      <w:szCs w:val="72"/>
                    </w:rPr>
                    <w:t>Pelagics</w:t>
                  </w:r>
                  <w:proofErr w:type="spellEnd"/>
                </w:p>
                <w:p w:rsidR="00F317AF" w:rsidRPr="00F55886" w:rsidRDefault="00E0508D" w:rsidP="005B3AE3">
                  <w:pPr>
                    <w:jc w:val="center"/>
                    <w:rPr>
                      <w:color w:val="FFFFFF"/>
                      <w:sz w:val="72"/>
                      <w:szCs w:val="72"/>
                    </w:rPr>
                  </w:pPr>
                  <w:r>
                    <w:rPr>
                      <w:color w:val="FFFFFF"/>
                      <w:sz w:val="72"/>
                      <w:szCs w:val="72"/>
                    </w:rPr>
                    <w:t>Joint Amendment 30</w:t>
                  </w:r>
                </w:p>
                <w:p w:rsidR="00F317AF" w:rsidRPr="005325AB" w:rsidRDefault="00F317AF" w:rsidP="005325AB">
                  <w:pPr>
                    <w:jc w:val="center"/>
                    <w:rPr>
                      <w:b/>
                      <w:bCs/>
                      <w:color w:val="FFFFFF"/>
                      <w:sz w:val="36"/>
                      <w:szCs w:val="36"/>
                    </w:rPr>
                  </w:pPr>
                  <w:r w:rsidRPr="00F55886">
                    <w:rPr>
                      <w:color w:val="FFFFFF"/>
                      <w:sz w:val="36"/>
                      <w:szCs w:val="36"/>
                    </w:rPr>
                    <w:t>(</w:t>
                  </w:r>
                  <w:r w:rsidR="00E0508D">
                    <w:rPr>
                      <w:b/>
                      <w:bCs/>
                      <w:color w:val="FFFFFF"/>
                      <w:sz w:val="36"/>
                      <w:szCs w:val="36"/>
                    </w:rPr>
                    <w:t>Atlantic Cobia</w:t>
                  </w:r>
                  <w:r w:rsidR="002847B5">
                    <w:rPr>
                      <w:b/>
                      <w:bCs/>
                      <w:color w:val="FFFFFF"/>
                      <w:sz w:val="36"/>
                      <w:szCs w:val="36"/>
                    </w:rPr>
                    <w:t xml:space="preserve"> Recreational Fishing Year</w:t>
                  </w:r>
                  <w:r w:rsidRPr="00F55886">
                    <w:rPr>
                      <w:color w:val="FFFFFF"/>
                      <w:sz w:val="36"/>
                      <w:szCs w:val="36"/>
                    </w:rPr>
                    <w:t>)</w:t>
                  </w:r>
                </w:p>
                <w:p w:rsidR="00F317AF" w:rsidRPr="00F55886" w:rsidRDefault="00F317AF" w:rsidP="00395B7B">
                  <w:pPr>
                    <w:rPr>
                      <w:color w:val="FFFFFF"/>
                      <w:sz w:val="36"/>
                      <w:szCs w:val="36"/>
                    </w:rPr>
                  </w:pPr>
                </w:p>
                <w:p w:rsidR="00F317AF" w:rsidRDefault="00F317AF" w:rsidP="002449AF">
                  <w:pPr>
                    <w:ind w:left="-720"/>
                    <w:jc w:val="center"/>
                    <w:rPr>
                      <w:noProof/>
                      <w:color w:val="FFFFFF"/>
                      <w:sz w:val="44"/>
                      <w:szCs w:val="44"/>
                    </w:rPr>
                  </w:pPr>
                </w:p>
                <w:p w:rsidR="00F317AF" w:rsidRDefault="00F317AF" w:rsidP="0075770D">
                  <w:pPr>
                    <w:jc w:val="center"/>
                    <w:rPr>
                      <w:noProof/>
                      <w:color w:val="FFFFFF"/>
                      <w:sz w:val="44"/>
                      <w:szCs w:val="44"/>
                    </w:rPr>
                  </w:pPr>
                  <w:r>
                    <w:rPr>
                      <w:noProof/>
                      <w:color w:val="FFFFFF"/>
                      <w:sz w:val="44"/>
                      <w:szCs w:val="44"/>
                    </w:rPr>
                    <w:t xml:space="preserve">South Atlantic Mackerel </w:t>
                  </w:r>
                  <w:r w:rsidR="00CF5BD3">
                    <w:rPr>
                      <w:noProof/>
                      <w:color w:val="FFFFFF"/>
                      <w:sz w:val="44"/>
                      <w:szCs w:val="44"/>
                    </w:rPr>
                    <w:t xml:space="preserve">Cobia </w:t>
                  </w:r>
                  <w:r>
                    <w:rPr>
                      <w:noProof/>
                      <w:color w:val="FFFFFF"/>
                      <w:sz w:val="44"/>
                      <w:szCs w:val="44"/>
                    </w:rPr>
                    <w:t>Committee</w:t>
                  </w:r>
                </w:p>
                <w:p w:rsidR="00F317AF" w:rsidRPr="009F6CFF" w:rsidRDefault="00436451" w:rsidP="0075770D">
                  <w:pPr>
                    <w:jc w:val="center"/>
                    <w:rPr>
                      <w:noProof/>
                      <w:color w:val="FFFFFF"/>
                      <w:sz w:val="44"/>
                      <w:szCs w:val="44"/>
                    </w:rPr>
                  </w:pPr>
                  <w:r>
                    <w:rPr>
                      <w:noProof/>
                      <w:color w:val="FFFFFF"/>
                      <w:sz w:val="44"/>
                      <w:szCs w:val="44"/>
                    </w:rPr>
                    <w:t>December</w:t>
                  </w:r>
                  <w:r w:rsidR="00F317AF">
                    <w:rPr>
                      <w:noProof/>
                      <w:color w:val="FFFFFF"/>
                      <w:sz w:val="44"/>
                      <w:szCs w:val="44"/>
                    </w:rPr>
                    <w:t xml:space="preserve"> 2016</w:t>
                  </w:r>
                </w:p>
                <w:p w:rsidR="00F317AF" w:rsidRPr="0004163C" w:rsidRDefault="00F317AF" w:rsidP="005B3AE3">
                  <w:pPr>
                    <w:jc w:val="center"/>
                    <w:rPr>
                      <w:color w:val="FFFFFF"/>
                      <w:sz w:val="56"/>
                      <w:szCs w:val="56"/>
                    </w:rPr>
                  </w:pPr>
                </w:p>
              </w:txbxContent>
            </v:textbox>
            <w10:wrap type="none"/>
            <w10:anchorlock/>
          </v:roundrect>
        </w:pict>
      </w:r>
    </w:p>
    <w:p w:rsidR="005B3AE3" w:rsidRDefault="005B3AE3" w:rsidP="005B3AE3"/>
    <w:p w:rsidR="005B3AE3" w:rsidRDefault="005B3AE3" w:rsidP="005B3AE3"/>
    <w:p w:rsidR="005B3AE3" w:rsidRDefault="005B3AE3" w:rsidP="005B3AE3"/>
    <w:p w:rsidR="005B3AE3" w:rsidRDefault="005B3AE3" w:rsidP="005B3AE3">
      <w:pPr>
        <w:jc w:val="center"/>
        <w:rPr>
          <w:noProof/>
          <w:szCs w:val="24"/>
        </w:rPr>
      </w:pPr>
    </w:p>
    <w:p w:rsidR="005B3AE3" w:rsidRDefault="005B3AE3" w:rsidP="005B3AE3">
      <w:pPr>
        <w:ind w:left="1440"/>
        <w:rPr>
          <w:noProof/>
          <w:szCs w:val="24"/>
        </w:rPr>
      </w:pPr>
    </w:p>
    <w:p w:rsidR="005B3AE3" w:rsidRDefault="005325AB" w:rsidP="005325AB">
      <w:pPr>
        <w:ind w:left="2880" w:firstLine="720"/>
        <w:rPr>
          <w:rFonts w:ascii="Rosewood Std Regular" w:hAnsi="Rosewood Std Regular"/>
          <w:noProof/>
          <w:color w:val="FF0000"/>
          <w:sz w:val="96"/>
          <w:szCs w:val="96"/>
        </w:rPr>
      </w:pPr>
      <w:r>
        <w:rPr>
          <w:noProof/>
        </w:rPr>
        <w:drawing>
          <wp:inline distT="0" distB="0" distL="0" distR="0">
            <wp:extent cx="172212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120" cy="1668780"/>
                    </a:xfrm>
                    <a:prstGeom prst="rect">
                      <a:avLst/>
                    </a:prstGeom>
                    <a:noFill/>
                    <a:ln>
                      <a:noFill/>
                    </a:ln>
                  </pic:spPr>
                </pic:pic>
              </a:graphicData>
            </a:graphic>
          </wp:inline>
        </w:drawing>
      </w:r>
    </w:p>
    <w:p w:rsidR="004C04EE" w:rsidRDefault="004C04EE" w:rsidP="005B3AE3">
      <w:pPr>
        <w:rPr>
          <w:b/>
          <w:sz w:val="28"/>
          <w:szCs w:val="28"/>
        </w:rPr>
      </w:pPr>
    </w:p>
    <w:p w:rsidR="005B3AE3" w:rsidRDefault="005B3AE3" w:rsidP="005B3AE3">
      <w:pPr>
        <w:rPr>
          <w:b/>
          <w:sz w:val="28"/>
          <w:szCs w:val="28"/>
        </w:rPr>
      </w:pPr>
    </w:p>
    <w:p w:rsidR="005B3AE3" w:rsidRPr="008153F2" w:rsidRDefault="00436451" w:rsidP="009E1234">
      <w:pPr>
        <w:jc w:val="center"/>
        <w:rPr>
          <w:b/>
          <w:sz w:val="28"/>
          <w:szCs w:val="28"/>
        </w:rPr>
      </w:pPr>
      <w:r>
        <w:rPr>
          <w:b/>
          <w:sz w:val="28"/>
          <w:szCs w:val="28"/>
        </w:rPr>
        <w:t>November 14</w:t>
      </w:r>
      <w:r w:rsidR="00341D5E" w:rsidRPr="00CF5E94">
        <w:rPr>
          <w:b/>
          <w:sz w:val="28"/>
          <w:szCs w:val="28"/>
        </w:rPr>
        <w:t>, 2016</w:t>
      </w:r>
    </w:p>
    <w:p w:rsidR="00D9272A" w:rsidRDefault="00D9272A" w:rsidP="00D9272A">
      <w:pPr>
        <w:rPr>
          <w:b/>
        </w:rPr>
      </w:pPr>
    </w:p>
    <w:p w:rsidR="00D9272A" w:rsidRPr="003D46E2" w:rsidRDefault="00A4796A" w:rsidP="003D46E2">
      <w:pPr>
        <w:pStyle w:val="Heading1"/>
        <w:rPr>
          <w:b w:val="0"/>
          <w:lang w:val="en-US"/>
        </w:rPr>
      </w:pPr>
      <w:r>
        <w:rPr>
          <w:rStyle w:val="Heading1Char1"/>
          <w:rFonts w:eastAsia="Calibri"/>
          <w:b/>
        </w:rPr>
        <w:lastRenderedPageBreak/>
        <w:t>ACTION</w:t>
      </w:r>
      <w:r w:rsidR="003B096C">
        <w:rPr>
          <w:rStyle w:val="Heading1Char1"/>
          <w:rFonts w:eastAsia="Calibri"/>
          <w:b/>
        </w:rPr>
        <w:t xml:space="preserve"> FOR AMENDMENT 30</w:t>
      </w:r>
    </w:p>
    <w:p w:rsidR="00881C2E" w:rsidRPr="00881C2E" w:rsidRDefault="003B096C" w:rsidP="003B096C">
      <w:pPr>
        <w:pStyle w:val="ListParagraph"/>
        <w:numPr>
          <w:ilvl w:val="0"/>
          <w:numId w:val="40"/>
        </w:numPr>
      </w:pPr>
      <w:r>
        <w:t>Change the recreational fishing year for Atlantic cobia</w:t>
      </w:r>
    </w:p>
    <w:p w:rsidR="00A4796A" w:rsidRDefault="00A4796A" w:rsidP="00A4796A">
      <w:pPr>
        <w:pStyle w:val="Heading1"/>
      </w:pPr>
      <w:r>
        <w:t>BACKGROUND</w:t>
      </w:r>
    </w:p>
    <w:p w:rsidR="003B096C" w:rsidRDefault="003B096C" w:rsidP="003B096C">
      <w:pPr>
        <w:ind w:firstLine="360"/>
      </w:pPr>
      <w:r>
        <w:t>In 2015, recreational landings for Atlantic migratory group (Georgia to New York) cobia (Atlantic cobia) exceeded the 2015 recreational ACL of 630,000 pounds whole weight (</w:t>
      </w:r>
      <w:proofErr w:type="spellStart"/>
      <w:r>
        <w:t>ww</w:t>
      </w:r>
      <w:proofErr w:type="spellEnd"/>
      <w:r>
        <w:t xml:space="preserve">), and the 2015 stock ACL (commercial and recreational ACLs combined) of 690,000 lbs </w:t>
      </w:r>
      <w:proofErr w:type="spellStart"/>
      <w:r>
        <w:t>ww</w:t>
      </w:r>
      <w:proofErr w:type="spellEnd"/>
      <w:r>
        <w:t xml:space="preserve">.  The current AM for Atlantic cobia requires that if total landings exceed the stock ACL, NMFS </w:t>
      </w:r>
      <w:r w:rsidRPr="008D787C">
        <w:t xml:space="preserve">must file a notice to reduce the length of the </w:t>
      </w:r>
      <w:r>
        <w:t xml:space="preserve">following </w:t>
      </w:r>
      <w:r w:rsidRPr="008D787C">
        <w:t>recreational season by the amount necessary to ensure recreational landings may achieve the recreational</w:t>
      </w:r>
      <w:r>
        <w:t xml:space="preserve"> annual catch target</w:t>
      </w:r>
      <w:r w:rsidRPr="008D787C">
        <w:t xml:space="preserve">, but do not exceed the recreational ACL.  </w:t>
      </w:r>
    </w:p>
    <w:p w:rsidR="003B096C" w:rsidRDefault="003B096C" w:rsidP="003B096C"/>
    <w:p w:rsidR="00541D2C" w:rsidRPr="00E97317" w:rsidRDefault="00541D2C" w:rsidP="00541D2C">
      <w:pPr>
        <w:ind w:firstLine="360"/>
      </w:pPr>
      <w:r>
        <w:t>On March 10, 2016, NMFS announced that the 2016 recreational season for Atlantic cobia in federal waters would close on June 20, 2016 (81 FR 12601).  Because the closure occurred at the time of year when recreational fishing for cobia is typically the highest, the early closure is expected to have had negative social and economic impacts on recreational anglers, for-hire businesses, for-hire clients, and associated support businesses, such as tackle shops. Public comment indicates that the June 20 closure negatively affected many recreational fishermen and businesses in North Carolina and Virginia, even though preliminary 2016 MRIP estimates indicate that landings continued to be high in these states after the federal closure. (</w:t>
      </w:r>
      <w:proofErr w:type="gramStart"/>
      <w:r>
        <w:t>see</w:t>
      </w:r>
      <w:proofErr w:type="gramEnd"/>
      <w:r>
        <w:t xml:space="preserve"> </w:t>
      </w:r>
      <w:r w:rsidRPr="00A53EF1">
        <w:rPr>
          <w:b/>
        </w:rPr>
        <w:t>Tab</w:t>
      </w:r>
      <w:r>
        <w:rPr>
          <w:b/>
        </w:rPr>
        <w:t xml:space="preserve">le </w:t>
      </w:r>
      <w:r w:rsidRPr="00A53EF1">
        <w:rPr>
          <w:b/>
        </w:rPr>
        <w:t>1</w:t>
      </w:r>
      <w:r>
        <w:t>)  Although Virginia and North Carolina did not adopt compatible regulations after the federal closure was announced, and harvest in Virginia and North Carolina state waters remained open after June 20, 2016, the more restrictive management measures implemented for Virginia and North Carolina state waters also affected recreational fishermen and businesses in those areas, as described in further detail in Chapter 4.  The negative effects of the federal closure would likely be greatest</w:t>
      </w:r>
      <w:r w:rsidR="00FE5C79">
        <w:t xml:space="preserve"> </w:t>
      </w:r>
      <w:r>
        <w:t>for recreational fishermen and businesses in North Carolina and Virginia as landings are highest in these states (</w:t>
      </w:r>
      <w:r>
        <w:rPr>
          <w:b/>
        </w:rPr>
        <w:t xml:space="preserve">Table 1) </w:t>
      </w:r>
      <w:r>
        <w:t>and recreational landings are generally higher in the later months of the summer in North Carolina and Virginia (</w:t>
      </w:r>
      <w:r>
        <w:rPr>
          <w:b/>
        </w:rPr>
        <w:t xml:space="preserve">Figure </w:t>
      </w:r>
      <w:r w:rsidRPr="00E97317">
        <w:rPr>
          <w:b/>
        </w:rPr>
        <w:t>1</w:t>
      </w:r>
      <w:r>
        <w:t xml:space="preserve">). </w:t>
      </w:r>
    </w:p>
    <w:p w:rsidR="00541D2C" w:rsidRDefault="00541D2C" w:rsidP="00541D2C"/>
    <w:p w:rsidR="00541D2C" w:rsidRPr="00541D2C" w:rsidRDefault="00541D2C" w:rsidP="00541D2C">
      <w:pPr>
        <w:pStyle w:val="Tabletitle"/>
        <w:rPr>
          <w:rFonts w:ascii="Arial" w:hAnsi="Arial" w:cs="Arial"/>
          <w:sz w:val="22"/>
        </w:rPr>
      </w:pPr>
      <w:bookmarkStart w:id="0" w:name="_Toc466558107"/>
      <w:proofErr w:type="gramStart"/>
      <w:r w:rsidRPr="00541D2C">
        <w:rPr>
          <w:rFonts w:ascii="Arial" w:hAnsi="Arial" w:cs="Arial"/>
          <w:b/>
          <w:sz w:val="22"/>
        </w:rPr>
        <w:t>Table 1</w:t>
      </w:r>
      <w:r w:rsidRPr="00541D2C">
        <w:rPr>
          <w:rFonts w:ascii="Arial" w:hAnsi="Arial" w:cs="Arial"/>
          <w:sz w:val="22"/>
        </w:rPr>
        <w:t>.</w:t>
      </w:r>
      <w:proofErr w:type="gramEnd"/>
      <w:r w:rsidRPr="00541D2C">
        <w:rPr>
          <w:rFonts w:ascii="Arial" w:hAnsi="Arial" w:cs="Arial"/>
          <w:sz w:val="22"/>
        </w:rPr>
        <w:t xml:space="preserve">  </w:t>
      </w:r>
      <w:proofErr w:type="gramStart"/>
      <w:r w:rsidRPr="00541D2C">
        <w:rPr>
          <w:rFonts w:ascii="Arial" w:hAnsi="Arial" w:cs="Arial"/>
          <w:sz w:val="22"/>
        </w:rPr>
        <w:t xml:space="preserve">Recreational landings (lbs </w:t>
      </w:r>
      <w:proofErr w:type="spellStart"/>
      <w:r w:rsidRPr="00541D2C">
        <w:rPr>
          <w:rFonts w:ascii="Arial" w:hAnsi="Arial" w:cs="Arial"/>
          <w:sz w:val="22"/>
        </w:rPr>
        <w:t>ww</w:t>
      </w:r>
      <w:proofErr w:type="spellEnd"/>
      <w:r w:rsidRPr="00541D2C">
        <w:rPr>
          <w:rFonts w:ascii="Arial" w:hAnsi="Arial" w:cs="Arial"/>
          <w:sz w:val="22"/>
        </w:rPr>
        <w:t>) of Atlantic cobia from 2005-2015, and 2016 preliminary landings.</w:t>
      </w:r>
      <w:proofErr w:type="gramEnd"/>
      <w:r w:rsidRPr="00541D2C">
        <w:rPr>
          <w:rFonts w:ascii="Arial" w:hAnsi="Arial" w:cs="Arial"/>
          <w:sz w:val="22"/>
        </w:rPr>
        <w:t xml:space="preserve"> Data sources: MRIP and SEFSC</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69"/>
        <w:gridCol w:w="1779"/>
        <w:gridCol w:w="1724"/>
        <w:gridCol w:w="1787"/>
        <w:gridCol w:w="2337"/>
      </w:tblGrid>
      <w:tr w:rsidR="00541D2C" w:rsidRPr="00E54029" w:rsidTr="004F4B34">
        <w:trPr>
          <w:trHeight w:val="288"/>
        </w:trPr>
        <w:tc>
          <w:tcPr>
            <w:tcW w:w="437"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Year</w:t>
            </w:r>
          </w:p>
        </w:tc>
        <w:tc>
          <w:tcPr>
            <w:tcW w:w="859"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VA Landings</w:t>
            </w:r>
          </w:p>
        </w:tc>
        <w:tc>
          <w:tcPr>
            <w:tcW w:w="864"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NC Landings</w:t>
            </w:r>
          </w:p>
        </w:tc>
        <w:tc>
          <w:tcPr>
            <w:tcW w:w="837"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SC Landings</w:t>
            </w:r>
          </w:p>
        </w:tc>
        <w:tc>
          <w:tcPr>
            <w:tcW w:w="868"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GA Landings</w:t>
            </w:r>
          </w:p>
        </w:tc>
        <w:tc>
          <w:tcPr>
            <w:tcW w:w="1135" w:type="pct"/>
            <w:shd w:val="clear" w:color="auto" w:fill="D9D9D9" w:themeFill="background1" w:themeFillShade="D9"/>
            <w:noWrap/>
            <w:vAlign w:val="center"/>
            <w:hideMark/>
          </w:tcPr>
          <w:p w:rsidR="00541D2C" w:rsidRPr="00E54029" w:rsidRDefault="00541D2C" w:rsidP="004F4B34">
            <w:pPr>
              <w:jc w:val="center"/>
              <w:rPr>
                <w:rFonts w:ascii="Calibri" w:hAnsi="Calibri"/>
                <w:b/>
                <w:color w:val="000000"/>
                <w:sz w:val="22"/>
              </w:rPr>
            </w:pPr>
            <w:r w:rsidRPr="00E54029">
              <w:rPr>
                <w:rFonts w:ascii="Calibri" w:hAnsi="Calibri"/>
                <w:b/>
                <w:color w:val="000000"/>
                <w:sz w:val="22"/>
              </w:rPr>
              <w:t>TOTAL ATLANTIC</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2005</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577,284</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322,272</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5,793</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3,358</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908,707</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2006</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733,740</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104,259</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101,018</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4,824</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943,841</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2007</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322,887</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90,197</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268,677</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64,708</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746,469</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2008</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167,949</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66,258</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50,108</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257,690</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542,006</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2009</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552,995</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123,061</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76,229</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3,997</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756,282</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2010</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232,987</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561,486</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65,688</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79,855</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940,015</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2011</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136,859</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121,689</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3,565</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90,375</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352,488</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2012</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36,409</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68,657</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224,365</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105,193</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434,623</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2013</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354,463</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492,969</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19,130</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29,224</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895,786</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2014</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214,427</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277,489</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31,927</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20,642</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544,485</w:t>
            </w:r>
          </w:p>
        </w:tc>
      </w:tr>
      <w:tr w:rsidR="00541D2C" w:rsidRPr="00E54029" w:rsidTr="004F4B34">
        <w:trPr>
          <w:trHeight w:val="288"/>
        </w:trPr>
        <w:tc>
          <w:tcPr>
            <w:tcW w:w="4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2015</w:t>
            </w:r>
          </w:p>
        </w:tc>
        <w:tc>
          <w:tcPr>
            <w:tcW w:w="859"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718,647</w:t>
            </w:r>
          </w:p>
        </w:tc>
        <w:tc>
          <w:tcPr>
            <w:tcW w:w="864"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630,373</w:t>
            </w:r>
          </w:p>
        </w:tc>
        <w:tc>
          <w:tcPr>
            <w:tcW w:w="837"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123,952</w:t>
            </w:r>
          </w:p>
        </w:tc>
        <w:tc>
          <w:tcPr>
            <w:tcW w:w="868"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67,804</w:t>
            </w:r>
          </w:p>
        </w:tc>
        <w:tc>
          <w:tcPr>
            <w:tcW w:w="1135" w:type="pct"/>
            <w:shd w:val="clear" w:color="auto" w:fill="auto"/>
            <w:noWrap/>
            <w:vAlign w:val="center"/>
            <w:hideMark/>
          </w:tcPr>
          <w:p w:rsidR="00541D2C" w:rsidRPr="00E54029" w:rsidRDefault="00541D2C" w:rsidP="004F4B34">
            <w:pPr>
              <w:jc w:val="center"/>
              <w:rPr>
                <w:rFonts w:ascii="Calibri" w:hAnsi="Calibri"/>
                <w:color w:val="000000"/>
                <w:sz w:val="22"/>
              </w:rPr>
            </w:pPr>
            <w:r w:rsidRPr="00E54029">
              <w:rPr>
                <w:rFonts w:ascii="Calibri" w:hAnsi="Calibri"/>
                <w:color w:val="000000"/>
                <w:sz w:val="22"/>
              </w:rPr>
              <w:t>1,5</w:t>
            </w:r>
            <w:r>
              <w:rPr>
                <w:rFonts w:ascii="Calibri" w:hAnsi="Calibri"/>
                <w:color w:val="000000"/>
                <w:sz w:val="22"/>
              </w:rPr>
              <w:t>65,18</w:t>
            </w:r>
            <w:r w:rsidRPr="00E54029">
              <w:rPr>
                <w:rFonts w:ascii="Calibri" w:hAnsi="Calibri"/>
                <w:color w:val="000000"/>
                <w:sz w:val="22"/>
              </w:rPr>
              <w:t>6</w:t>
            </w:r>
          </w:p>
        </w:tc>
      </w:tr>
      <w:tr w:rsidR="00541D2C" w:rsidRPr="00E54029" w:rsidTr="004F4B34">
        <w:trPr>
          <w:trHeight w:val="288"/>
        </w:trPr>
        <w:tc>
          <w:tcPr>
            <w:tcW w:w="437" w:type="pct"/>
            <w:shd w:val="clear" w:color="auto" w:fill="auto"/>
            <w:noWrap/>
            <w:vAlign w:val="center"/>
          </w:tcPr>
          <w:p w:rsidR="00541D2C" w:rsidRPr="00E54029" w:rsidRDefault="00541D2C" w:rsidP="004F4B34">
            <w:pPr>
              <w:jc w:val="center"/>
              <w:rPr>
                <w:rFonts w:ascii="Calibri" w:hAnsi="Calibri"/>
                <w:color w:val="000000"/>
                <w:sz w:val="22"/>
              </w:rPr>
            </w:pPr>
            <w:r>
              <w:rPr>
                <w:rFonts w:ascii="Calibri" w:hAnsi="Calibri"/>
                <w:color w:val="000000"/>
                <w:sz w:val="22"/>
              </w:rPr>
              <w:t>2016*</w:t>
            </w:r>
          </w:p>
        </w:tc>
        <w:tc>
          <w:tcPr>
            <w:tcW w:w="859" w:type="pct"/>
            <w:shd w:val="clear" w:color="auto" w:fill="auto"/>
            <w:noWrap/>
            <w:vAlign w:val="center"/>
          </w:tcPr>
          <w:p w:rsidR="00541D2C" w:rsidRPr="00E54029" w:rsidRDefault="00541D2C" w:rsidP="004F4B34">
            <w:pPr>
              <w:jc w:val="center"/>
              <w:rPr>
                <w:rFonts w:ascii="Calibri" w:hAnsi="Calibri"/>
                <w:color w:val="000000"/>
                <w:sz w:val="22"/>
              </w:rPr>
            </w:pPr>
            <w:r>
              <w:rPr>
                <w:rFonts w:ascii="Calibri" w:hAnsi="Calibri"/>
                <w:color w:val="000000"/>
                <w:sz w:val="22"/>
              </w:rPr>
              <w:t>919,992</w:t>
            </w:r>
          </w:p>
        </w:tc>
        <w:tc>
          <w:tcPr>
            <w:tcW w:w="864" w:type="pct"/>
            <w:shd w:val="clear" w:color="auto" w:fill="auto"/>
            <w:noWrap/>
            <w:vAlign w:val="center"/>
          </w:tcPr>
          <w:p w:rsidR="00541D2C" w:rsidRPr="00E54029" w:rsidRDefault="00541D2C" w:rsidP="004F4B34">
            <w:pPr>
              <w:jc w:val="center"/>
              <w:rPr>
                <w:rFonts w:ascii="Calibri" w:hAnsi="Calibri"/>
                <w:color w:val="000000"/>
                <w:sz w:val="22"/>
              </w:rPr>
            </w:pPr>
            <w:r w:rsidRPr="005462CF">
              <w:rPr>
                <w:rFonts w:ascii="Calibri" w:hAnsi="Calibri"/>
                <w:color w:val="000000"/>
                <w:sz w:val="22"/>
              </w:rPr>
              <w:t>285</w:t>
            </w:r>
            <w:r>
              <w:rPr>
                <w:rFonts w:ascii="Calibri" w:hAnsi="Calibri"/>
                <w:color w:val="000000"/>
                <w:sz w:val="22"/>
              </w:rPr>
              <w:t>,</w:t>
            </w:r>
            <w:r w:rsidRPr="005462CF">
              <w:rPr>
                <w:rFonts w:ascii="Calibri" w:hAnsi="Calibri"/>
                <w:color w:val="000000"/>
                <w:sz w:val="22"/>
              </w:rPr>
              <w:t>352</w:t>
            </w:r>
          </w:p>
        </w:tc>
        <w:tc>
          <w:tcPr>
            <w:tcW w:w="837" w:type="pct"/>
            <w:shd w:val="clear" w:color="auto" w:fill="auto"/>
            <w:noWrap/>
            <w:vAlign w:val="center"/>
          </w:tcPr>
          <w:p w:rsidR="00541D2C" w:rsidRPr="00E54029" w:rsidRDefault="00541D2C" w:rsidP="004F4B34">
            <w:pPr>
              <w:jc w:val="center"/>
              <w:rPr>
                <w:rFonts w:ascii="Calibri" w:hAnsi="Calibri"/>
                <w:color w:val="000000"/>
                <w:sz w:val="22"/>
              </w:rPr>
            </w:pPr>
            <w:r>
              <w:rPr>
                <w:rFonts w:ascii="Calibri" w:hAnsi="Calibri"/>
                <w:color w:val="000000"/>
                <w:sz w:val="22"/>
              </w:rPr>
              <w:t>77,744</w:t>
            </w:r>
          </w:p>
        </w:tc>
        <w:tc>
          <w:tcPr>
            <w:tcW w:w="868" w:type="pct"/>
            <w:shd w:val="clear" w:color="auto" w:fill="auto"/>
            <w:noWrap/>
            <w:vAlign w:val="center"/>
          </w:tcPr>
          <w:p w:rsidR="00541D2C" w:rsidRPr="00E54029" w:rsidRDefault="00541D2C" w:rsidP="004F4B34">
            <w:pPr>
              <w:jc w:val="center"/>
              <w:rPr>
                <w:rFonts w:ascii="Calibri" w:hAnsi="Calibri"/>
                <w:color w:val="000000"/>
                <w:sz w:val="22"/>
              </w:rPr>
            </w:pPr>
            <w:r>
              <w:rPr>
                <w:rFonts w:ascii="Calibri" w:hAnsi="Calibri"/>
                <w:color w:val="000000"/>
                <w:sz w:val="22"/>
              </w:rPr>
              <w:t>0</w:t>
            </w:r>
          </w:p>
        </w:tc>
        <w:tc>
          <w:tcPr>
            <w:tcW w:w="1135" w:type="pct"/>
            <w:shd w:val="clear" w:color="auto" w:fill="auto"/>
            <w:noWrap/>
            <w:vAlign w:val="center"/>
          </w:tcPr>
          <w:p w:rsidR="00541D2C" w:rsidRPr="005462CF" w:rsidRDefault="00541D2C" w:rsidP="004F4B34">
            <w:pPr>
              <w:jc w:val="center"/>
              <w:rPr>
                <w:rFonts w:ascii="Calibri" w:hAnsi="Calibri"/>
                <w:bCs/>
                <w:color w:val="000000"/>
                <w:sz w:val="22"/>
              </w:rPr>
            </w:pPr>
            <w:r w:rsidRPr="00A12667">
              <w:rPr>
                <w:rFonts w:ascii="Calibri" w:hAnsi="Calibri"/>
                <w:bCs/>
                <w:color w:val="000000"/>
                <w:sz w:val="22"/>
              </w:rPr>
              <w:t>1</w:t>
            </w:r>
            <w:r>
              <w:rPr>
                <w:rFonts w:ascii="Calibri" w:hAnsi="Calibri"/>
                <w:bCs/>
                <w:color w:val="000000"/>
                <w:sz w:val="22"/>
              </w:rPr>
              <w:t>,</w:t>
            </w:r>
            <w:r w:rsidRPr="00A12667">
              <w:rPr>
                <w:rFonts w:ascii="Calibri" w:hAnsi="Calibri"/>
                <w:bCs/>
                <w:color w:val="000000"/>
                <w:sz w:val="22"/>
              </w:rPr>
              <w:t>283</w:t>
            </w:r>
            <w:r>
              <w:rPr>
                <w:rFonts w:ascii="Calibri" w:hAnsi="Calibri"/>
                <w:bCs/>
                <w:color w:val="000000"/>
                <w:sz w:val="22"/>
              </w:rPr>
              <w:t>,</w:t>
            </w:r>
            <w:r w:rsidRPr="00A12667">
              <w:rPr>
                <w:rFonts w:ascii="Calibri" w:hAnsi="Calibri"/>
                <w:bCs/>
                <w:color w:val="000000"/>
                <w:sz w:val="22"/>
              </w:rPr>
              <w:t>088</w:t>
            </w:r>
          </w:p>
        </w:tc>
      </w:tr>
    </w:tbl>
    <w:p w:rsidR="00541D2C" w:rsidRDefault="00541D2C" w:rsidP="00541D2C">
      <w:r>
        <w:t xml:space="preserve">*2016 data shown in the table include Waves 1-4 and were retrieved from the MRIP Database. The 2016 data are preliminary. </w:t>
      </w:r>
    </w:p>
    <w:p w:rsidR="00541D2C" w:rsidRDefault="00541D2C" w:rsidP="00541D2C"/>
    <w:p w:rsidR="00541D2C" w:rsidRDefault="00541D2C" w:rsidP="00541D2C">
      <w:pPr>
        <w:jc w:val="center"/>
      </w:pPr>
      <w:r>
        <w:rPr>
          <w:noProof/>
        </w:rPr>
        <w:lastRenderedPageBreak/>
        <w:drawing>
          <wp:inline distT="0" distB="0" distL="0" distR="0">
            <wp:extent cx="5097574" cy="777240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tlCobiaRecLandingsFigure_080316-1.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97574" cy="7772400"/>
                    </a:xfrm>
                    <a:prstGeom prst="rect">
                      <a:avLst/>
                    </a:prstGeom>
                  </pic:spPr>
                </pic:pic>
              </a:graphicData>
            </a:graphic>
          </wp:inline>
        </w:drawing>
      </w:r>
    </w:p>
    <w:p w:rsidR="00541D2C" w:rsidRPr="00541D2C" w:rsidRDefault="00541D2C" w:rsidP="00541D2C">
      <w:pPr>
        <w:pStyle w:val="Figuretitle"/>
        <w:rPr>
          <w:rFonts w:ascii="Arial" w:hAnsi="Arial" w:cs="Arial"/>
        </w:rPr>
      </w:pPr>
      <w:bookmarkStart w:id="1" w:name="_Toc463016605"/>
      <w:proofErr w:type="gramStart"/>
      <w:r w:rsidRPr="00541D2C">
        <w:rPr>
          <w:rFonts w:ascii="Arial" w:hAnsi="Arial" w:cs="Arial"/>
          <w:b/>
        </w:rPr>
        <w:t>Figure 1</w:t>
      </w:r>
      <w:r w:rsidRPr="00541D2C">
        <w:rPr>
          <w:rFonts w:ascii="Arial" w:hAnsi="Arial" w:cs="Arial"/>
        </w:rPr>
        <w:t>.</w:t>
      </w:r>
      <w:proofErr w:type="gramEnd"/>
      <w:r w:rsidRPr="00541D2C">
        <w:rPr>
          <w:rFonts w:ascii="Arial" w:hAnsi="Arial" w:cs="Arial"/>
        </w:rPr>
        <w:t xml:space="preserve">  </w:t>
      </w:r>
      <w:proofErr w:type="gramStart"/>
      <w:r w:rsidRPr="00541D2C">
        <w:rPr>
          <w:rFonts w:ascii="Arial" w:hAnsi="Arial" w:cs="Arial"/>
        </w:rPr>
        <w:t xml:space="preserve">Recreational catch of Atlantic cobia (lbs </w:t>
      </w:r>
      <w:proofErr w:type="spellStart"/>
      <w:r w:rsidRPr="00541D2C">
        <w:rPr>
          <w:rFonts w:ascii="Arial" w:hAnsi="Arial" w:cs="Arial"/>
        </w:rPr>
        <w:t>ww</w:t>
      </w:r>
      <w:proofErr w:type="spellEnd"/>
      <w:r w:rsidRPr="00541D2C">
        <w:rPr>
          <w:rFonts w:ascii="Arial" w:hAnsi="Arial" w:cs="Arial"/>
        </w:rPr>
        <w:t>) by wave from 2006-2015 for Waves 2-5.</w:t>
      </w:r>
      <w:proofErr w:type="gramEnd"/>
      <w:r w:rsidRPr="00541D2C">
        <w:rPr>
          <w:rFonts w:ascii="Arial" w:hAnsi="Arial" w:cs="Arial"/>
        </w:rPr>
        <w:t xml:space="preserve">  Data sources: SERO and MRIP database.  The MRIP-estimated recreational landings of Atlantic cobia in states north of Virginia from 2006-2015 are minimal. MRIP estimates for 2016 (preliminary) show landings from Maryland.</w:t>
      </w:r>
      <w:bookmarkEnd w:id="1"/>
    </w:p>
    <w:p w:rsidR="00541D2C" w:rsidRDefault="00541D2C" w:rsidP="00541D2C">
      <w:pPr>
        <w:ind w:firstLine="360"/>
      </w:pPr>
    </w:p>
    <w:p w:rsidR="00541D2C" w:rsidRDefault="00541D2C" w:rsidP="00541D2C">
      <w:pPr>
        <w:ind w:firstLine="360"/>
      </w:pPr>
      <w:r>
        <w:lastRenderedPageBreak/>
        <w:t xml:space="preserve">In combination with the proposed changes to slow the rate of recreational harvest in Framework Amendment 4, the objective of the proposed measure is to ensure that in the event of a future ACL overage and implementation of associated AM(s), the recreational fishing season would be open long into the fishing year and at the time of year when cobia fishing is most popular (May through September) to allow for recreational fishermen in all states to have the opportunity to catch cobia. </w:t>
      </w:r>
    </w:p>
    <w:p w:rsidR="003B096C" w:rsidRDefault="003B096C" w:rsidP="003B096C"/>
    <w:p w:rsidR="003B096C" w:rsidRDefault="003B096C" w:rsidP="003B096C"/>
    <w:p w:rsidR="003D46E2" w:rsidRPr="003D46E2" w:rsidRDefault="00541D2C" w:rsidP="003D46E2">
      <w:pPr>
        <w:pStyle w:val="Heading1"/>
      </w:pPr>
      <w:r>
        <w:rPr>
          <w:lang w:val="en-US"/>
        </w:rPr>
        <w:t>EXPECTED</w:t>
      </w:r>
      <w:r w:rsidR="00271670">
        <w:rPr>
          <w:lang w:val="en-US"/>
        </w:rPr>
        <w:t xml:space="preserve"> </w:t>
      </w:r>
      <w:r w:rsidR="003D46E2">
        <w:t>TIMELI</w:t>
      </w:r>
      <w:r w:rsidR="003D46E2">
        <w:rPr>
          <w:lang w:val="en-US"/>
        </w:rPr>
        <w:t>NE</w:t>
      </w:r>
      <w:r w:rsidR="003B096C">
        <w:t xml:space="preserve"> FOR AMENDMENT 30</w:t>
      </w:r>
    </w:p>
    <w:p w:rsidR="00D45A5E" w:rsidRPr="003B096C" w:rsidRDefault="00464FD3" w:rsidP="003B096C">
      <w:pPr>
        <w:pStyle w:val="ListParagraph"/>
        <w:numPr>
          <w:ilvl w:val="0"/>
          <w:numId w:val="39"/>
        </w:numPr>
        <w:ind w:left="720" w:hanging="450"/>
        <w:rPr>
          <w:sz w:val="28"/>
          <w:szCs w:val="28"/>
        </w:rPr>
      </w:pPr>
      <w:r w:rsidRPr="003B096C">
        <w:rPr>
          <w:sz w:val="28"/>
          <w:szCs w:val="28"/>
        </w:rPr>
        <w:t>August</w:t>
      </w:r>
      <w:r w:rsidR="00A4796A" w:rsidRPr="003B096C">
        <w:rPr>
          <w:sz w:val="28"/>
          <w:szCs w:val="28"/>
        </w:rPr>
        <w:t xml:space="preserve"> 2016</w:t>
      </w:r>
      <w:r w:rsidR="00D45A5E" w:rsidRPr="003B096C">
        <w:rPr>
          <w:sz w:val="28"/>
          <w:szCs w:val="28"/>
        </w:rPr>
        <w:t xml:space="preserve">- </w:t>
      </w:r>
      <w:r w:rsidR="003B096C">
        <w:rPr>
          <w:sz w:val="28"/>
          <w:szCs w:val="28"/>
        </w:rPr>
        <w:t>public hearings (as part of Framework Amendment 4)</w:t>
      </w:r>
    </w:p>
    <w:p w:rsidR="00A4796A" w:rsidRDefault="00A4796A" w:rsidP="00436451">
      <w:pPr>
        <w:pStyle w:val="ListParagraph"/>
        <w:numPr>
          <w:ilvl w:val="0"/>
          <w:numId w:val="39"/>
        </w:numPr>
        <w:ind w:left="720" w:hanging="450"/>
        <w:rPr>
          <w:sz w:val="28"/>
          <w:szCs w:val="28"/>
        </w:rPr>
      </w:pPr>
      <w:r>
        <w:rPr>
          <w:sz w:val="28"/>
          <w:szCs w:val="28"/>
        </w:rPr>
        <w:t>Septembe</w:t>
      </w:r>
      <w:r w:rsidR="003B096C">
        <w:rPr>
          <w:sz w:val="28"/>
          <w:szCs w:val="28"/>
        </w:rPr>
        <w:t>r 2016- South Atlantic Council moves the action to Amendment 30</w:t>
      </w:r>
      <w:r w:rsidR="0011357A">
        <w:rPr>
          <w:sz w:val="28"/>
          <w:szCs w:val="28"/>
        </w:rPr>
        <w:t xml:space="preserve"> and selects a preferred alternative</w:t>
      </w:r>
    </w:p>
    <w:p w:rsidR="003B096C" w:rsidRDefault="003B096C" w:rsidP="00436451">
      <w:pPr>
        <w:pStyle w:val="ListParagraph"/>
        <w:numPr>
          <w:ilvl w:val="0"/>
          <w:numId w:val="39"/>
        </w:numPr>
        <w:ind w:left="720" w:hanging="450"/>
        <w:rPr>
          <w:sz w:val="28"/>
          <w:szCs w:val="28"/>
        </w:rPr>
      </w:pPr>
      <w:r>
        <w:rPr>
          <w:sz w:val="28"/>
          <w:szCs w:val="28"/>
        </w:rPr>
        <w:t>October 2016- public comment period and webinar hearing</w:t>
      </w:r>
    </w:p>
    <w:p w:rsidR="00CF5E94" w:rsidRPr="0011357A" w:rsidRDefault="00D45A5E" w:rsidP="0011357A">
      <w:pPr>
        <w:pStyle w:val="ListParagraph"/>
        <w:numPr>
          <w:ilvl w:val="0"/>
          <w:numId w:val="39"/>
        </w:numPr>
        <w:ind w:left="720" w:hanging="450"/>
        <w:rPr>
          <w:sz w:val="28"/>
          <w:szCs w:val="28"/>
        </w:rPr>
      </w:pPr>
      <w:r>
        <w:rPr>
          <w:sz w:val="28"/>
          <w:szCs w:val="28"/>
        </w:rPr>
        <w:t>O</w:t>
      </w:r>
      <w:r w:rsidR="00383FA9">
        <w:rPr>
          <w:sz w:val="28"/>
          <w:szCs w:val="28"/>
        </w:rPr>
        <w:t>ctober 2016</w:t>
      </w:r>
      <w:r>
        <w:rPr>
          <w:sz w:val="28"/>
          <w:szCs w:val="28"/>
        </w:rPr>
        <w:t xml:space="preserve">- </w:t>
      </w:r>
      <w:r w:rsidRPr="00CF5E94">
        <w:rPr>
          <w:sz w:val="28"/>
          <w:szCs w:val="28"/>
        </w:rPr>
        <w:t>Gulf Council</w:t>
      </w:r>
      <w:r w:rsidR="0011357A">
        <w:rPr>
          <w:sz w:val="28"/>
          <w:szCs w:val="28"/>
        </w:rPr>
        <w:t xml:space="preserve"> reviews amendment,</w:t>
      </w:r>
      <w:r w:rsidRPr="00CF5E94">
        <w:rPr>
          <w:sz w:val="28"/>
          <w:szCs w:val="28"/>
        </w:rPr>
        <w:t xml:space="preserve"> </w:t>
      </w:r>
      <w:r w:rsidR="003B096C">
        <w:rPr>
          <w:sz w:val="28"/>
          <w:szCs w:val="28"/>
        </w:rPr>
        <w:t>selects preferred alternative</w:t>
      </w:r>
      <w:r w:rsidRPr="00CF5E94">
        <w:rPr>
          <w:sz w:val="28"/>
          <w:szCs w:val="28"/>
        </w:rPr>
        <w:t xml:space="preserve"> and approves for </w:t>
      </w:r>
      <w:r w:rsidR="0011357A">
        <w:rPr>
          <w:sz w:val="28"/>
          <w:szCs w:val="28"/>
        </w:rPr>
        <w:t>formal review</w:t>
      </w:r>
    </w:p>
    <w:p w:rsidR="00CF5E94" w:rsidRPr="00CF5E94" w:rsidRDefault="00383FA9" w:rsidP="00CF5E94">
      <w:pPr>
        <w:pStyle w:val="ListParagraph"/>
        <w:numPr>
          <w:ilvl w:val="0"/>
          <w:numId w:val="35"/>
        </w:numPr>
        <w:rPr>
          <w:sz w:val="28"/>
          <w:szCs w:val="28"/>
        </w:rPr>
      </w:pPr>
      <w:r>
        <w:rPr>
          <w:sz w:val="28"/>
          <w:szCs w:val="28"/>
        </w:rPr>
        <w:t>December 2016</w:t>
      </w:r>
      <w:r w:rsidR="00CF5E94">
        <w:rPr>
          <w:sz w:val="28"/>
          <w:szCs w:val="28"/>
        </w:rPr>
        <w:t xml:space="preserve"> </w:t>
      </w:r>
      <w:r>
        <w:rPr>
          <w:sz w:val="28"/>
          <w:szCs w:val="28"/>
        </w:rPr>
        <w:t>- South Atlantic Council reviews public input and approves for formal review</w:t>
      </w:r>
    </w:p>
    <w:p w:rsidR="00CF5E94" w:rsidRPr="0011357A" w:rsidRDefault="0011357A" w:rsidP="0011357A">
      <w:pPr>
        <w:pStyle w:val="ListParagraph"/>
        <w:numPr>
          <w:ilvl w:val="0"/>
          <w:numId w:val="34"/>
        </w:numPr>
        <w:rPr>
          <w:sz w:val="28"/>
          <w:szCs w:val="28"/>
        </w:rPr>
      </w:pPr>
      <w:r>
        <w:rPr>
          <w:sz w:val="28"/>
          <w:szCs w:val="28"/>
        </w:rPr>
        <w:t xml:space="preserve">December 2016 </w:t>
      </w:r>
      <w:r w:rsidR="00D45A5E">
        <w:rPr>
          <w:sz w:val="28"/>
          <w:szCs w:val="28"/>
        </w:rPr>
        <w:t xml:space="preserve">- </w:t>
      </w:r>
      <w:r w:rsidR="00CF5E94" w:rsidRPr="0011357A">
        <w:rPr>
          <w:sz w:val="28"/>
          <w:szCs w:val="28"/>
        </w:rPr>
        <w:t>Finalize amendment and submit for Secretarial review</w:t>
      </w:r>
    </w:p>
    <w:p w:rsidR="00CF5E94" w:rsidRDefault="00CF5E94" w:rsidP="00CF5E94">
      <w:pPr>
        <w:rPr>
          <w:rStyle w:val="Heading1Char1"/>
          <w:rFonts w:eastAsia="Calibri"/>
          <w:lang w:val="en-US"/>
        </w:rPr>
      </w:pPr>
    </w:p>
    <w:p w:rsidR="00CF5E94" w:rsidRPr="00464FD3" w:rsidRDefault="003B096C" w:rsidP="005D40CF">
      <w:pPr>
        <w:pStyle w:val="Heading1"/>
        <w:rPr>
          <w:szCs w:val="28"/>
        </w:rPr>
      </w:pPr>
      <w:r>
        <w:rPr>
          <w:rStyle w:val="Heading1Char1"/>
          <w:rFonts w:eastAsia="Calibri"/>
          <w:lang w:val="en-US"/>
        </w:rPr>
        <w:t xml:space="preserve">DRAFT </w:t>
      </w:r>
      <w:r w:rsidR="00CF5E94">
        <w:rPr>
          <w:rStyle w:val="Heading1Char1"/>
          <w:rFonts w:eastAsia="Calibri"/>
          <w:lang w:val="en-US"/>
        </w:rPr>
        <w:t>PURPOSE AND NEED</w:t>
      </w:r>
    </w:p>
    <w:p w:rsidR="003B096C" w:rsidRPr="00AD40F6" w:rsidRDefault="003B096C" w:rsidP="003B096C">
      <w:pPr>
        <w:rPr>
          <w:rFonts w:ascii="Arial" w:hAnsi="Arial" w:cs="Arial"/>
          <w:b/>
        </w:rPr>
      </w:pPr>
      <w:r w:rsidRPr="00AD40F6">
        <w:rPr>
          <w:rFonts w:ascii="Arial" w:hAnsi="Arial" w:cs="Arial"/>
          <w:b/>
        </w:rPr>
        <w:t>Purpose for Action</w:t>
      </w:r>
    </w:p>
    <w:p w:rsidR="003B096C" w:rsidRDefault="003B096C" w:rsidP="003B096C">
      <w:r>
        <w:t>The purpose of this amendment is to modify the recreational</w:t>
      </w:r>
      <w:r w:rsidR="00671CD7">
        <w:t xml:space="preserve"> </w:t>
      </w:r>
      <w:r w:rsidR="00671CD7" w:rsidRPr="00671CD7">
        <w:rPr>
          <w:highlight w:val="yellow"/>
        </w:rPr>
        <w:t>and commercial</w:t>
      </w:r>
      <w:r>
        <w:t xml:space="preserve"> fishing year for Atlantic migratory group cobia to ensure consistent, stable, and equitable fishing opportunities for </w:t>
      </w:r>
      <w:r w:rsidRPr="00671CD7">
        <w:rPr>
          <w:strike/>
          <w:highlight w:val="yellow"/>
        </w:rPr>
        <w:t>recreational</w:t>
      </w:r>
      <w:r w:rsidRPr="00671CD7">
        <w:rPr>
          <w:strike/>
        </w:rPr>
        <w:t xml:space="preserve"> </w:t>
      </w:r>
      <w:r>
        <w:t xml:space="preserve">participants in the Atlantic cobia </w:t>
      </w:r>
      <w:r w:rsidRPr="00C404F7">
        <w:t>component of the coastal</w:t>
      </w:r>
      <w:r>
        <w:t xml:space="preserve"> migratory </w:t>
      </w:r>
      <w:proofErr w:type="spellStart"/>
      <w:r>
        <w:t>pelagics</w:t>
      </w:r>
      <w:proofErr w:type="spellEnd"/>
      <w:r>
        <w:t xml:space="preserve"> fishery. </w:t>
      </w:r>
    </w:p>
    <w:p w:rsidR="003B096C" w:rsidRDefault="003B096C" w:rsidP="003B096C"/>
    <w:p w:rsidR="003B096C" w:rsidRPr="00AD40F6" w:rsidRDefault="003B096C" w:rsidP="003B096C">
      <w:pPr>
        <w:rPr>
          <w:rFonts w:ascii="Arial" w:hAnsi="Arial" w:cs="Arial"/>
          <w:b/>
        </w:rPr>
      </w:pPr>
      <w:r w:rsidRPr="00AD40F6">
        <w:rPr>
          <w:rFonts w:ascii="Arial" w:hAnsi="Arial" w:cs="Arial"/>
          <w:b/>
        </w:rPr>
        <w:t>Need for Action</w:t>
      </w:r>
    </w:p>
    <w:p w:rsidR="003B096C" w:rsidRDefault="003B096C" w:rsidP="003B096C">
      <w:r>
        <w:t xml:space="preserve">The need for this amendment is to respond to changing fishery characteristics for Atlantic cobia, while increasing social and economic benefits of the coastal migratory </w:t>
      </w:r>
      <w:proofErr w:type="spellStart"/>
      <w:r>
        <w:t>pelagics</w:t>
      </w:r>
      <w:proofErr w:type="spellEnd"/>
      <w:r>
        <w:t xml:space="preserve"> fishery through sustainable </w:t>
      </w:r>
      <w:r w:rsidRPr="00671CD7">
        <w:rPr>
          <w:strike/>
          <w:highlight w:val="yellow"/>
        </w:rPr>
        <w:t>recreational</w:t>
      </w:r>
      <w:r w:rsidRPr="00671CD7">
        <w:rPr>
          <w:strike/>
        </w:rPr>
        <w:t xml:space="preserve"> </w:t>
      </w:r>
      <w:r>
        <w:t xml:space="preserve">fishing opportunities and harvest of Atlantic cobia. </w:t>
      </w:r>
    </w:p>
    <w:p w:rsidR="00DE4539" w:rsidRDefault="00DE4539" w:rsidP="00CF5E94">
      <w:pPr>
        <w:rPr>
          <w:b/>
          <w:bCs/>
        </w:rPr>
      </w:pPr>
    </w:p>
    <w:p w:rsidR="00CF5E94" w:rsidRPr="0041651C" w:rsidRDefault="00CF5E94" w:rsidP="00CF5E94">
      <w:pPr>
        <w:pStyle w:val="Heading2"/>
        <w:rPr>
          <w:b/>
        </w:rPr>
      </w:pPr>
      <w:r w:rsidRPr="00541D2C">
        <w:rPr>
          <w:b/>
          <w:highlight w:val="yellow"/>
        </w:rPr>
        <w:t>COMMITTEE ACTION</w:t>
      </w:r>
    </w:p>
    <w:p w:rsidR="00CF5E94" w:rsidRDefault="00CF5E94" w:rsidP="00DE4539">
      <w:pPr>
        <w:rPr>
          <w:sz w:val="28"/>
          <w:szCs w:val="28"/>
        </w:rPr>
      </w:pPr>
      <w:r w:rsidRPr="005C45A7">
        <w:rPr>
          <w:sz w:val="28"/>
          <w:szCs w:val="28"/>
        </w:rPr>
        <w:t xml:space="preserve">1) </w:t>
      </w:r>
      <w:r>
        <w:rPr>
          <w:sz w:val="28"/>
          <w:szCs w:val="28"/>
        </w:rPr>
        <w:t xml:space="preserve">Review, edit and approve the purpose </w:t>
      </w:r>
      <w:r w:rsidR="003B096C">
        <w:rPr>
          <w:sz w:val="28"/>
          <w:szCs w:val="28"/>
        </w:rPr>
        <w:t xml:space="preserve">and need. </w:t>
      </w:r>
    </w:p>
    <w:p w:rsidR="008A7179" w:rsidRDefault="008A7179" w:rsidP="00DE4539">
      <w:pPr>
        <w:rPr>
          <w:rFonts w:eastAsia="Times New Roman"/>
          <w:bCs/>
          <w:sz w:val="28"/>
          <w:szCs w:val="26"/>
        </w:rPr>
      </w:pPr>
      <w:r>
        <w:rPr>
          <w:sz w:val="28"/>
          <w:szCs w:val="28"/>
        </w:rPr>
        <w:t>Add commercial?</w:t>
      </w:r>
      <w:bookmarkStart w:id="2" w:name="_GoBack"/>
      <w:bookmarkEnd w:id="2"/>
    </w:p>
    <w:p w:rsidR="00DE4539" w:rsidRDefault="00DE4539" w:rsidP="005D40CF"/>
    <w:p w:rsidR="003B096C" w:rsidRDefault="003B096C">
      <w:pPr>
        <w:rPr>
          <w:rFonts w:eastAsia="Times New Roman"/>
          <w:b/>
          <w:bCs/>
          <w:kern w:val="32"/>
          <w:sz w:val="28"/>
          <w:szCs w:val="32"/>
          <w:u w:val="single"/>
          <w:lang/>
        </w:rPr>
      </w:pPr>
      <w:r>
        <w:br w:type="page"/>
      </w:r>
    </w:p>
    <w:p w:rsidR="00541D2C" w:rsidRDefault="00541D2C" w:rsidP="00541D2C">
      <w:pPr>
        <w:pStyle w:val="Heading1"/>
      </w:pPr>
      <w:bookmarkStart w:id="3" w:name="_Toc463017136"/>
      <w:r>
        <w:lastRenderedPageBreak/>
        <w:t>Action: Modify the recreational fishing year for Atlantic cobia</w:t>
      </w:r>
      <w:bookmarkEnd w:id="3"/>
    </w:p>
    <w:p w:rsidR="00541D2C" w:rsidRDefault="00541D2C" w:rsidP="00541D2C"/>
    <w:p w:rsidR="00541D2C" w:rsidRDefault="00541D2C" w:rsidP="00541D2C">
      <w:proofErr w:type="gramStart"/>
      <w:r>
        <w:rPr>
          <w:b/>
        </w:rPr>
        <w:t>Alternative 1 (No Action).</w:t>
      </w:r>
      <w:proofErr w:type="gramEnd"/>
      <w:r w:rsidRPr="001A6DD2">
        <w:rPr>
          <w:b/>
        </w:rPr>
        <w:t xml:space="preserve"> </w:t>
      </w:r>
      <w:r>
        <w:rPr>
          <w:b/>
        </w:rPr>
        <w:t xml:space="preserve"> </w:t>
      </w:r>
      <w:r>
        <w:t xml:space="preserve">Do not modify the current recreational fishing </w:t>
      </w:r>
      <w:r w:rsidRPr="00982D8F">
        <w:t>year of</w:t>
      </w:r>
      <w:r>
        <w:t xml:space="preserve"> January 1 through December 31. </w:t>
      </w:r>
    </w:p>
    <w:p w:rsidR="00541D2C" w:rsidRDefault="00541D2C" w:rsidP="00541D2C"/>
    <w:p w:rsidR="00541D2C" w:rsidRDefault="00541D2C" w:rsidP="00541D2C">
      <w:proofErr w:type="gramStart"/>
      <w:r w:rsidRPr="00A53EF1">
        <w:rPr>
          <w:b/>
        </w:rPr>
        <w:t xml:space="preserve">Preferred </w:t>
      </w:r>
      <w:r>
        <w:rPr>
          <w:b/>
        </w:rPr>
        <w:t>Alternative 2</w:t>
      </w:r>
      <w:r>
        <w:t>.</w:t>
      </w:r>
      <w:proofErr w:type="gramEnd"/>
      <w:r>
        <w:t xml:space="preserve">  Modify the recreational fishing year for Atlantic cobia to be May 1 through April 30. </w:t>
      </w:r>
    </w:p>
    <w:p w:rsidR="00541D2C" w:rsidRDefault="00541D2C" w:rsidP="00541D2C">
      <w:r>
        <w:t xml:space="preserve">  </w:t>
      </w:r>
    </w:p>
    <w:p w:rsidR="00541D2C" w:rsidRDefault="00541D2C" w:rsidP="00541D2C">
      <w:proofErr w:type="gramStart"/>
      <w:r>
        <w:rPr>
          <w:b/>
        </w:rPr>
        <w:t>Alternative 3</w:t>
      </w:r>
      <w:r>
        <w:t>.</w:t>
      </w:r>
      <w:proofErr w:type="gramEnd"/>
      <w:r>
        <w:t xml:space="preserve">  Modify the recreational fishing year for Atlantic cobia to be June 1 through May 31. </w:t>
      </w:r>
    </w:p>
    <w:p w:rsidR="00541D2C" w:rsidRDefault="00541D2C" w:rsidP="00541D2C"/>
    <w:p w:rsidR="00541D2C" w:rsidRPr="0098766F" w:rsidRDefault="00541D2C" w:rsidP="00541D2C">
      <w:proofErr w:type="gramStart"/>
      <w:r>
        <w:rPr>
          <w:b/>
        </w:rPr>
        <w:t>Alternative 4</w:t>
      </w:r>
      <w:r>
        <w:t>.</w:t>
      </w:r>
      <w:proofErr w:type="gramEnd"/>
      <w:r>
        <w:t>  Modify the recreational fishing year for Atlantic cobia to be April 1 through March 31.</w:t>
      </w:r>
    </w:p>
    <w:p w:rsidR="00541D2C" w:rsidRDefault="00541D2C" w:rsidP="00541D2C"/>
    <w:p w:rsidR="00541D2C" w:rsidRDefault="00541D2C" w:rsidP="00541D2C"/>
    <w:p w:rsidR="00541D2C" w:rsidRDefault="00541D2C" w:rsidP="00541D2C">
      <w:r>
        <w:t>----</w:t>
      </w:r>
    </w:p>
    <w:p w:rsidR="00541D2C" w:rsidRDefault="00541D2C" w:rsidP="00541D2C">
      <w:pPr>
        <w:spacing w:after="160" w:line="259" w:lineRule="auto"/>
        <w:ind w:firstLine="360"/>
        <w:rPr>
          <w:rFonts w:eastAsiaTheme="majorEastAsia"/>
        </w:rPr>
      </w:pPr>
      <w:r>
        <w:rPr>
          <w:rFonts w:eastAsiaTheme="majorEastAsia"/>
        </w:rPr>
        <w:t xml:space="preserve">The proposed harvest limits in Framework Amendment 4 and the change in the fishing year in Amendment 30 are expected to affect the rate of harvest and when recreational landings reach the recreational ACL, and increase the likelihood that recreational harvest will be open during the time of year when cobia fishing is most popular (May through September, </w:t>
      </w:r>
      <w:r w:rsidRPr="00541D2C">
        <w:rPr>
          <w:rFonts w:eastAsiaTheme="majorEastAsia"/>
          <w:b/>
        </w:rPr>
        <w:t>see Figure 2</w:t>
      </w:r>
      <w:r>
        <w:rPr>
          <w:rFonts w:eastAsiaTheme="majorEastAsia"/>
        </w:rPr>
        <w:t>).  The alternatives in this action are analyzed with the Framework Amendment 4 proposed harvest limits (</w:t>
      </w:r>
      <w:r>
        <w:rPr>
          <w:rFonts w:eastAsiaTheme="majorEastAsia"/>
          <w:b/>
        </w:rPr>
        <w:t xml:space="preserve">Tables 2 </w:t>
      </w:r>
      <w:r>
        <w:rPr>
          <w:rFonts w:eastAsiaTheme="majorEastAsia"/>
        </w:rPr>
        <w:t xml:space="preserve">and </w:t>
      </w:r>
      <w:r>
        <w:rPr>
          <w:rFonts w:eastAsiaTheme="majorEastAsia"/>
          <w:b/>
        </w:rPr>
        <w:t>3</w:t>
      </w:r>
      <w:r>
        <w:rPr>
          <w:rFonts w:eastAsiaTheme="majorEastAsia"/>
        </w:rPr>
        <w:t xml:space="preserve">).  These estimated dates that the recreational ACL would be met assume that regulations are consistent in state and federal waters.  The estimates would likely vary each year depending on a number of factors that could affect the level of recreational effort and catch.  Additional information about the analyses is included in </w:t>
      </w:r>
      <w:r>
        <w:rPr>
          <w:rFonts w:eastAsiaTheme="majorEastAsia"/>
          <w:b/>
        </w:rPr>
        <w:t xml:space="preserve">Appendix H </w:t>
      </w:r>
      <w:r>
        <w:rPr>
          <w:rFonts w:eastAsiaTheme="majorEastAsia"/>
        </w:rPr>
        <w:t xml:space="preserve">of CMP Amendment 20 (Attachment 4a). </w:t>
      </w:r>
    </w:p>
    <w:p w:rsidR="00541D2C" w:rsidRDefault="00541D2C" w:rsidP="00541D2C"/>
    <w:p w:rsidR="00541D2C" w:rsidRDefault="00541D2C" w:rsidP="00541D2C">
      <w:pPr>
        <w:pStyle w:val="NoSpacing"/>
        <w:rPr>
          <w:b/>
        </w:rPr>
      </w:pPr>
      <w:r>
        <w:rPr>
          <w:noProof/>
        </w:rPr>
        <w:drawing>
          <wp:inline distT="0" distB="0" distL="0" distR="0">
            <wp:extent cx="5867400" cy="2491740"/>
            <wp:effectExtent l="0" t="0" r="0" b="38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1D2C" w:rsidRDefault="00541D2C" w:rsidP="00541D2C">
      <w:pPr>
        <w:pStyle w:val="Figuretitle"/>
      </w:pPr>
      <w:bookmarkStart w:id="4" w:name="_Toc463016607"/>
      <w:proofErr w:type="gramStart"/>
      <w:r w:rsidRPr="006A32B7">
        <w:rPr>
          <w:b/>
        </w:rPr>
        <w:t xml:space="preserve">Figure </w:t>
      </w:r>
      <w:r>
        <w:rPr>
          <w:b/>
        </w:rPr>
        <w:t>2</w:t>
      </w:r>
      <w:r w:rsidRPr="006A32B7">
        <w:rPr>
          <w:b/>
        </w:rPr>
        <w:t>.</w:t>
      </w:r>
      <w:proofErr w:type="gramEnd"/>
      <w:r w:rsidRPr="006A32B7">
        <w:t xml:space="preserve">  Atlantic recreational landings for January-October of 2013, 2014, 2015, average 2013-2015 landings, and average 2014-2015 landings by two-month wave.  Source: SEFSC Recreational ACL Dataset</w:t>
      </w:r>
      <w:bookmarkEnd w:id="4"/>
    </w:p>
    <w:p w:rsidR="00541D2C" w:rsidRDefault="00541D2C" w:rsidP="00541D2C"/>
    <w:p w:rsidR="00541D2C" w:rsidRDefault="00541D2C" w:rsidP="00541D2C">
      <w:pPr>
        <w:ind w:firstLine="360"/>
        <w:rPr>
          <w:rFonts w:eastAsiaTheme="majorEastAsia"/>
        </w:rPr>
      </w:pPr>
    </w:p>
    <w:p w:rsidR="00541D2C" w:rsidRDefault="00541D2C" w:rsidP="00541D2C">
      <w:pPr>
        <w:ind w:firstLine="360"/>
      </w:pPr>
      <w:r>
        <w:t>These estimates assume</w:t>
      </w:r>
      <w:r w:rsidRPr="005E3971">
        <w:t xml:space="preserve"> that the accountability measure</w:t>
      </w:r>
      <w:r>
        <w:t>s</w:t>
      </w:r>
      <w:r w:rsidRPr="005E3971">
        <w:t xml:space="preserve"> (AM) were not triggered in the previous year and that the fishing season has not been shortened due to the AM</w:t>
      </w:r>
      <w:r>
        <w:t xml:space="preserve"> for a reduced season length.  Specifically, the estimated dates in </w:t>
      </w:r>
      <w:r>
        <w:rPr>
          <w:b/>
        </w:rPr>
        <w:t>Tables 2</w:t>
      </w:r>
      <w:r>
        <w:t xml:space="preserve"> and </w:t>
      </w:r>
      <w:r>
        <w:rPr>
          <w:b/>
        </w:rPr>
        <w:t>3</w:t>
      </w:r>
      <w:r>
        <w:t xml:space="preserve"> are provided to show how the fishing years in </w:t>
      </w:r>
      <w:r>
        <w:rPr>
          <w:b/>
        </w:rPr>
        <w:t>Alternatives 1-4</w:t>
      </w:r>
      <w:r>
        <w:t xml:space="preserve"> </w:t>
      </w:r>
      <w:proofErr w:type="gramStart"/>
      <w:r>
        <w:t>would each</w:t>
      </w:r>
      <w:proofErr w:type="gramEnd"/>
      <w:r>
        <w:t xml:space="preserve"> interact with the proposed harvest limits, and how the alternatives compare to each other. Because there is no in-season AM to close harvest when the recreational ACL is met or </w:t>
      </w:r>
      <w:r>
        <w:lastRenderedPageBreak/>
        <w:t>projected to be met, any specification of the length of a fishing season would depend on the previous year’s landings and if the AM to reduce the season length was applied.</w:t>
      </w:r>
    </w:p>
    <w:p w:rsidR="00541D2C" w:rsidRPr="002C1C80" w:rsidRDefault="00541D2C" w:rsidP="00541D2C">
      <w:pPr>
        <w:ind w:firstLine="360"/>
        <w:rPr>
          <w:rFonts w:eastAsia="Times New Roman"/>
        </w:rPr>
      </w:pPr>
    </w:p>
    <w:p w:rsidR="00541D2C" w:rsidRPr="00C47382" w:rsidRDefault="007F0D70" w:rsidP="00541D2C">
      <w:pPr>
        <w:spacing w:after="160" w:line="259" w:lineRule="auto"/>
        <w:ind w:firstLine="360"/>
        <w:rPr>
          <w:rFonts w:eastAsiaTheme="majorEastAsia"/>
        </w:rPr>
      </w:pPr>
      <w:r>
        <w:rPr>
          <w:rFonts w:eastAsiaTheme="majorEastAsia"/>
          <w:b/>
        </w:rPr>
        <w:t>Table 2</w:t>
      </w:r>
      <w:r w:rsidR="00541D2C">
        <w:rPr>
          <w:rFonts w:eastAsiaTheme="majorEastAsia"/>
          <w:b/>
        </w:rPr>
        <w:t xml:space="preserve"> </w:t>
      </w:r>
      <w:r w:rsidR="00541D2C">
        <w:rPr>
          <w:rFonts w:eastAsiaTheme="majorEastAsia"/>
        </w:rPr>
        <w:t xml:space="preserve">includes estimated dates when the recreational landings would reach the recreational ACL under each alternative using landings data from 2013-2015.  This period of time includes the 2015 landings, which were much higher than any other year from 2005-2015.  The results of the analysis in </w:t>
      </w:r>
      <w:r>
        <w:rPr>
          <w:rFonts w:eastAsiaTheme="majorEastAsia"/>
          <w:b/>
        </w:rPr>
        <w:t>Table 2</w:t>
      </w:r>
      <w:r w:rsidR="00541D2C">
        <w:rPr>
          <w:rFonts w:eastAsiaTheme="majorEastAsia"/>
        </w:rPr>
        <w:t xml:space="preserve"> indicate how the proposed harvest limits would interact with the fishing years under the alternatives during years with high recreational effort and landings of Atlantic cobia. </w:t>
      </w:r>
    </w:p>
    <w:p w:rsidR="00541D2C" w:rsidRPr="00541D2C" w:rsidRDefault="00541D2C" w:rsidP="00541D2C">
      <w:pPr>
        <w:pStyle w:val="Tabletitle"/>
        <w:rPr>
          <w:rFonts w:ascii="Arial" w:hAnsi="Arial" w:cs="Arial"/>
          <w:b/>
          <w:sz w:val="22"/>
        </w:rPr>
      </w:pPr>
      <w:bookmarkStart w:id="5" w:name="_Toc466558108"/>
      <w:proofErr w:type="gramStart"/>
      <w:r w:rsidRPr="00541D2C">
        <w:rPr>
          <w:rFonts w:ascii="Arial" w:hAnsi="Arial" w:cs="Arial"/>
          <w:b/>
          <w:sz w:val="22"/>
        </w:rPr>
        <w:t>Table 2.</w:t>
      </w:r>
      <w:proofErr w:type="gramEnd"/>
      <w:r w:rsidRPr="00541D2C">
        <w:rPr>
          <w:rFonts w:ascii="Arial" w:hAnsi="Arial" w:cs="Arial"/>
          <w:sz w:val="22"/>
        </w:rPr>
        <w:t xml:space="preserve">  </w:t>
      </w:r>
      <w:proofErr w:type="gramStart"/>
      <w:r w:rsidRPr="00541D2C">
        <w:rPr>
          <w:rFonts w:ascii="Arial" w:hAnsi="Arial" w:cs="Arial"/>
          <w:sz w:val="22"/>
        </w:rPr>
        <w:t>Estimated dates when Atlantic cobia recreational landings would meet the recreational ACL under the proposed bag limit, vessel limit and minimum size limit in Framework Amendment 4, for each alternative.</w:t>
      </w:r>
      <w:proofErr w:type="gramEnd"/>
      <w:r w:rsidRPr="00541D2C">
        <w:rPr>
          <w:rFonts w:ascii="Arial" w:hAnsi="Arial" w:cs="Arial"/>
          <w:sz w:val="22"/>
        </w:rPr>
        <w:t xml:space="preserve">  This analysis includes landings data from 2013-2015.</w:t>
      </w:r>
      <w:bookmarkEnd w:id="5"/>
      <w:r w:rsidRPr="00541D2C">
        <w:rPr>
          <w:rFonts w:ascii="Arial" w:hAnsi="Arial" w:cs="Arial"/>
          <w:b/>
          <w:sz w:val="22"/>
        </w:rPr>
        <w:t xml:space="preserve">  </w:t>
      </w:r>
    </w:p>
    <w:tbl>
      <w:tblPr>
        <w:tblStyle w:val="TableGrid"/>
        <w:tblW w:w="0" w:type="auto"/>
        <w:tblLook w:val="04A0"/>
      </w:tblPr>
      <w:tblGrid>
        <w:gridCol w:w="2636"/>
        <w:gridCol w:w="2610"/>
        <w:gridCol w:w="3952"/>
      </w:tblGrid>
      <w:tr w:rsidR="00541D2C" w:rsidRPr="00220824" w:rsidTr="004F4B34">
        <w:tc>
          <w:tcPr>
            <w:tcW w:w="2636" w:type="dxa"/>
            <w:shd w:val="clear" w:color="auto" w:fill="FDE9D9" w:themeFill="accent6" w:themeFillTint="33"/>
            <w:vAlign w:val="center"/>
          </w:tcPr>
          <w:p w:rsidR="00541D2C" w:rsidRPr="00DF7665" w:rsidRDefault="00541D2C" w:rsidP="004F4B34">
            <w:pPr>
              <w:jc w:val="center"/>
              <w:rPr>
                <w:b/>
              </w:rPr>
            </w:pPr>
            <w:r w:rsidRPr="00DF7665">
              <w:rPr>
                <w:b/>
              </w:rPr>
              <w:t>Fishing Year</w:t>
            </w:r>
          </w:p>
        </w:tc>
        <w:tc>
          <w:tcPr>
            <w:tcW w:w="2610" w:type="dxa"/>
            <w:shd w:val="clear" w:color="auto" w:fill="FDE9D9" w:themeFill="accent6" w:themeFillTint="33"/>
            <w:vAlign w:val="center"/>
          </w:tcPr>
          <w:p w:rsidR="00541D2C" w:rsidRPr="00DF7665" w:rsidRDefault="00541D2C" w:rsidP="004F4B34">
            <w:pPr>
              <w:jc w:val="center"/>
              <w:rPr>
                <w:b/>
              </w:rPr>
            </w:pPr>
            <w:r w:rsidRPr="00DF7665">
              <w:rPr>
                <w:b/>
              </w:rPr>
              <w:t>1/person and</w:t>
            </w:r>
          </w:p>
          <w:p w:rsidR="00541D2C" w:rsidRPr="00DF7665" w:rsidRDefault="00541D2C" w:rsidP="004F4B34">
            <w:pPr>
              <w:jc w:val="center"/>
              <w:rPr>
                <w:b/>
              </w:rPr>
            </w:pPr>
            <w:r w:rsidRPr="00DF7665">
              <w:rPr>
                <w:b/>
              </w:rPr>
              <w:t>36” FL minimum size</w:t>
            </w:r>
          </w:p>
        </w:tc>
        <w:tc>
          <w:tcPr>
            <w:tcW w:w="3952" w:type="dxa"/>
            <w:shd w:val="clear" w:color="auto" w:fill="FDE9D9" w:themeFill="accent6" w:themeFillTint="33"/>
            <w:vAlign w:val="center"/>
          </w:tcPr>
          <w:p w:rsidR="00541D2C" w:rsidRPr="00DF7665" w:rsidRDefault="00541D2C" w:rsidP="004F4B34">
            <w:pPr>
              <w:jc w:val="center"/>
              <w:rPr>
                <w:b/>
              </w:rPr>
            </w:pPr>
            <w:r w:rsidRPr="00DF7665">
              <w:rPr>
                <w:b/>
              </w:rPr>
              <w:t>6/vessel and</w:t>
            </w:r>
          </w:p>
          <w:p w:rsidR="00541D2C" w:rsidRPr="00DF7665" w:rsidRDefault="00541D2C" w:rsidP="004F4B34">
            <w:pPr>
              <w:jc w:val="center"/>
              <w:rPr>
                <w:b/>
              </w:rPr>
            </w:pPr>
            <w:r w:rsidRPr="00DF7665">
              <w:rPr>
                <w:b/>
              </w:rPr>
              <w:t>36” FL minimum size</w:t>
            </w:r>
          </w:p>
        </w:tc>
      </w:tr>
      <w:tr w:rsidR="00541D2C" w:rsidRPr="00220824" w:rsidTr="004F4B34">
        <w:tc>
          <w:tcPr>
            <w:tcW w:w="2636" w:type="dxa"/>
            <w:vAlign w:val="center"/>
          </w:tcPr>
          <w:p w:rsidR="00541D2C" w:rsidRPr="00DF7665" w:rsidRDefault="00541D2C" w:rsidP="004F4B34">
            <w:pPr>
              <w:jc w:val="center"/>
              <w:rPr>
                <w:b/>
              </w:rPr>
            </w:pPr>
            <w:r w:rsidRPr="00DF7665">
              <w:rPr>
                <w:b/>
              </w:rPr>
              <w:t>Alternative 1 (No Action)</w:t>
            </w:r>
          </w:p>
          <w:p w:rsidR="00541D2C" w:rsidRPr="00220824" w:rsidRDefault="00541D2C" w:rsidP="004F4B34">
            <w:pPr>
              <w:jc w:val="center"/>
            </w:pPr>
            <w:r w:rsidRPr="00220824">
              <w:t>Jan 1 – Dec 31</w:t>
            </w:r>
          </w:p>
          <w:p w:rsidR="00541D2C" w:rsidRPr="00220824" w:rsidRDefault="00541D2C" w:rsidP="004F4B34">
            <w:pPr>
              <w:jc w:val="center"/>
            </w:pPr>
          </w:p>
        </w:tc>
        <w:tc>
          <w:tcPr>
            <w:tcW w:w="2610" w:type="dxa"/>
            <w:vAlign w:val="center"/>
          </w:tcPr>
          <w:p w:rsidR="00541D2C" w:rsidRDefault="00541D2C" w:rsidP="004F4B34">
            <w:pPr>
              <w:jc w:val="center"/>
            </w:pPr>
            <w:r w:rsidRPr="00220824">
              <w:t>July 15</w:t>
            </w:r>
            <w:r>
              <w:t xml:space="preserve"> </w:t>
            </w:r>
          </w:p>
          <w:p w:rsidR="00541D2C" w:rsidRPr="00220824" w:rsidRDefault="00541D2C" w:rsidP="004F4B34">
            <w:pPr>
              <w:jc w:val="center"/>
            </w:pPr>
          </w:p>
        </w:tc>
        <w:tc>
          <w:tcPr>
            <w:tcW w:w="3952" w:type="dxa"/>
            <w:vAlign w:val="center"/>
          </w:tcPr>
          <w:p w:rsidR="00541D2C" w:rsidRDefault="00541D2C" w:rsidP="004F4B34">
            <w:pPr>
              <w:jc w:val="center"/>
            </w:pPr>
            <w:r>
              <w:t xml:space="preserve">July </w:t>
            </w:r>
            <w:r w:rsidRPr="00220824">
              <w:t>17</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2C1C80">
              <w:rPr>
                <w:b/>
              </w:rPr>
              <w:t>Preferred</w:t>
            </w:r>
            <w:r w:rsidRPr="00DF7665">
              <w:rPr>
                <w:b/>
                <w:color w:val="0070C0"/>
              </w:rPr>
              <w:t xml:space="preserve"> </w:t>
            </w:r>
            <w:r w:rsidRPr="00DF7665">
              <w:rPr>
                <w:b/>
              </w:rPr>
              <w:t>Alternative 2</w:t>
            </w:r>
          </w:p>
          <w:p w:rsidR="00541D2C" w:rsidRPr="00220824" w:rsidRDefault="00541D2C" w:rsidP="004F4B34">
            <w:pPr>
              <w:jc w:val="center"/>
            </w:pPr>
            <w:r w:rsidRPr="00220824">
              <w:t>May 1 - Apr 30</w:t>
            </w:r>
          </w:p>
          <w:p w:rsidR="00541D2C" w:rsidRPr="00220824" w:rsidRDefault="00541D2C" w:rsidP="004F4B34">
            <w:pPr>
              <w:jc w:val="center"/>
            </w:pPr>
          </w:p>
        </w:tc>
        <w:tc>
          <w:tcPr>
            <w:tcW w:w="2610" w:type="dxa"/>
            <w:vAlign w:val="center"/>
          </w:tcPr>
          <w:p w:rsidR="00541D2C" w:rsidRDefault="00541D2C" w:rsidP="004F4B34">
            <w:pPr>
              <w:jc w:val="center"/>
            </w:pPr>
            <w:r w:rsidRPr="00220824">
              <w:t>July 1</w:t>
            </w:r>
            <w:r>
              <w:t>8</w:t>
            </w:r>
          </w:p>
          <w:p w:rsidR="00541D2C" w:rsidRPr="00220824" w:rsidRDefault="00541D2C" w:rsidP="004F4B34">
            <w:pPr>
              <w:jc w:val="center"/>
            </w:pPr>
          </w:p>
        </w:tc>
        <w:tc>
          <w:tcPr>
            <w:tcW w:w="3952" w:type="dxa"/>
            <w:vAlign w:val="center"/>
          </w:tcPr>
          <w:p w:rsidR="00541D2C" w:rsidRDefault="00541D2C" w:rsidP="004F4B34">
            <w:pPr>
              <w:jc w:val="center"/>
            </w:pPr>
            <w:r>
              <w:t xml:space="preserve">July </w:t>
            </w:r>
            <w:r w:rsidRPr="00220824">
              <w:t>19</w:t>
            </w:r>
            <w:r>
              <w:t xml:space="preserve"> </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DF7665">
              <w:rPr>
                <w:b/>
              </w:rPr>
              <w:t>Alternative 3</w:t>
            </w:r>
          </w:p>
          <w:p w:rsidR="00541D2C" w:rsidRPr="00220824" w:rsidRDefault="00541D2C" w:rsidP="004F4B34">
            <w:pPr>
              <w:jc w:val="center"/>
            </w:pPr>
            <w:r w:rsidRPr="00220824">
              <w:t>June 1 - May 31</w:t>
            </w:r>
          </w:p>
          <w:p w:rsidR="00541D2C" w:rsidRPr="00220824" w:rsidRDefault="00541D2C" w:rsidP="004F4B34">
            <w:pPr>
              <w:jc w:val="center"/>
            </w:pPr>
          </w:p>
        </w:tc>
        <w:tc>
          <w:tcPr>
            <w:tcW w:w="2610" w:type="dxa"/>
            <w:vAlign w:val="center"/>
          </w:tcPr>
          <w:p w:rsidR="00541D2C" w:rsidRDefault="00541D2C" w:rsidP="004F4B34">
            <w:pPr>
              <w:jc w:val="center"/>
            </w:pPr>
            <w:r w:rsidRPr="00220824">
              <w:t>May 5</w:t>
            </w:r>
          </w:p>
          <w:p w:rsidR="00541D2C" w:rsidRPr="00220824" w:rsidRDefault="00541D2C" w:rsidP="004F4B34">
            <w:pPr>
              <w:jc w:val="center"/>
            </w:pPr>
          </w:p>
        </w:tc>
        <w:tc>
          <w:tcPr>
            <w:tcW w:w="3952" w:type="dxa"/>
            <w:vAlign w:val="center"/>
          </w:tcPr>
          <w:p w:rsidR="00541D2C" w:rsidRDefault="00541D2C" w:rsidP="004F4B34">
            <w:pPr>
              <w:jc w:val="center"/>
            </w:pPr>
          </w:p>
          <w:p w:rsidR="00541D2C" w:rsidRDefault="00541D2C" w:rsidP="004F4B34">
            <w:pPr>
              <w:jc w:val="center"/>
            </w:pPr>
            <w:r>
              <w:t>May 25</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DF7665">
              <w:rPr>
                <w:b/>
              </w:rPr>
              <w:t>Alternative 4</w:t>
            </w:r>
          </w:p>
          <w:p w:rsidR="00541D2C" w:rsidRPr="00220824" w:rsidRDefault="00541D2C" w:rsidP="004F4B34">
            <w:pPr>
              <w:jc w:val="center"/>
            </w:pPr>
            <w:r w:rsidRPr="00220824">
              <w:t>Apr 1 – Mar 31</w:t>
            </w:r>
          </w:p>
          <w:p w:rsidR="00541D2C" w:rsidRPr="00220824" w:rsidRDefault="00541D2C" w:rsidP="004F4B34">
            <w:pPr>
              <w:jc w:val="center"/>
            </w:pPr>
          </w:p>
        </w:tc>
        <w:tc>
          <w:tcPr>
            <w:tcW w:w="2610" w:type="dxa"/>
            <w:vAlign w:val="center"/>
          </w:tcPr>
          <w:p w:rsidR="00541D2C" w:rsidRDefault="00541D2C" w:rsidP="004F4B34">
            <w:pPr>
              <w:jc w:val="center"/>
            </w:pPr>
            <w:r w:rsidRPr="00220824">
              <w:t>July 16</w:t>
            </w:r>
          </w:p>
          <w:p w:rsidR="00541D2C" w:rsidRPr="00220824" w:rsidRDefault="00541D2C" w:rsidP="004F4B34">
            <w:pPr>
              <w:jc w:val="center"/>
            </w:pPr>
          </w:p>
        </w:tc>
        <w:tc>
          <w:tcPr>
            <w:tcW w:w="3952" w:type="dxa"/>
            <w:vAlign w:val="center"/>
          </w:tcPr>
          <w:p w:rsidR="00541D2C" w:rsidRDefault="00541D2C" w:rsidP="004F4B34">
            <w:pPr>
              <w:jc w:val="center"/>
            </w:pPr>
            <w:r>
              <w:t>July 18</w:t>
            </w:r>
          </w:p>
          <w:p w:rsidR="00541D2C" w:rsidRPr="00220824" w:rsidRDefault="00541D2C" w:rsidP="004F4B34">
            <w:pPr>
              <w:jc w:val="center"/>
            </w:pPr>
          </w:p>
        </w:tc>
      </w:tr>
    </w:tbl>
    <w:p w:rsidR="00541D2C" w:rsidRDefault="00541D2C" w:rsidP="00541D2C">
      <w:pPr>
        <w:rPr>
          <w:bCs/>
        </w:rPr>
      </w:pPr>
    </w:p>
    <w:p w:rsidR="00541D2C" w:rsidRPr="00141890" w:rsidRDefault="00541D2C" w:rsidP="00541D2C">
      <w:pPr>
        <w:ind w:firstLine="360"/>
        <w:rPr>
          <w:rFonts w:eastAsiaTheme="majorEastAsia"/>
        </w:rPr>
      </w:pPr>
      <w:r>
        <w:rPr>
          <w:b/>
          <w:bCs/>
        </w:rPr>
        <w:t xml:space="preserve">Table 3 </w:t>
      </w:r>
      <w:r>
        <w:rPr>
          <w:rFonts w:eastAsiaTheme="majorEastAsia"/>
        </w:rPr>
        <w:t xml:space="preserve">includes estimated dates when the recreational landings would reach the recreational ACL under each alternative using landings data from 2005-2014.  Landings in this period varied from 352,488 pounds (lbs) to 943,841 lbs, with an average of 706,470 lbs (see </w:t>
      </w:r>
      <w:r w:rsidR="007F0D70">
        <w:rPr>
          <w:rFonts w:eastAsiaTheme="majorEastAsia"/>
          <w:b/>
        </w:rPr>
        <w:t xml:space="preserve">Table </w:t>
      </w:r>
      <w:r>
        <w:rPr>
          <w:rFonts w:eastAsiaTheme="majorEastAsia"/>
          <w:b/>
        </w:rPr>
        <w:t>1</w:t>
      </w:r>
      <w:r>
        <w:rPr>
          <w:rFonts w:eastAsiaTheme="majorEastAsia"/>
        </w:rPr>
        <w:t>).  Even the highest landings between 2005 through 2014 (941,841 lbs) are much lower than the recreational landings in 2015 (</w:t>
      </w:r>
      <w:r w:rsidRPr="00141890">
        <w:rPr>
          <w:rFonts w:eastAsiaTheme="majorEastAsia"/>
        </w:rPr>
        <w:t>1,540,776</w:t>
      </w:r>
      <w:r>
        <w:rPr>
          <w:rFonts w:eastAsiaTheme="majorEastAsia"/>
        </w:rPr>
        <w:t xml:space="preserve"> lbs).  Input during the public hearings for Framework Amendment 4 suggested that the 2015 landings were so much higher than landings in 2005 through 2014, that the 2015 landings should be considered an outlier and that the 2005-2014 period more adequately captured the dynamics of the cobia portion of the coastal migratory </w:t>
      </w:r>
      <w:proofErr w:type="spellStart"/>
      <w:r>
        <w:rPr>
          <w:rFonts w:eastAsiaTheme="majorEastAsia"/>
        </w:rPr>
        <w:t>pelagics</w:t>
      </w:r>
      <w:proofErr w:type="spellEnd"/>
      <w:r>
        <w:rPr>
          <w:rFonts w:eastAsiaTheme="majorEastAsia"/>
        </w:rPr>
        <w:t xml:space="preserve"> (CMP) fishery. In response to this input, the Council requested that analysis using data from 2005-2014 be incorporated into the amendment.  </w:t>
      </w:r>
      <w:r>
        <w:rPr>
          <w:rFonts w:eastAsiaTheme="majorEastAsia"/>
          <w:b/>
        </w:rPr>
        <w:t xml:space="preserve">Table 3 </w:t>
      </w:r>
      <w:r>
        <w:rPr>
          <w:rFonts w:eastAsiaTheme="majorEastAsia"/>
        </w:rPr>
        <w:t xml:space="preserve">provides estimates on how the fishing year in each action would interact with the proposed harvest limits from Framework Amendment 4 in years with landings closer to the average landings of 2005-2014. </w:t>
      </w:r>
    </w:p>
    <w:p w:rsidR="00541D2C" w:rsidRPr="00A15491" w:rsidRDefault="00541D2C" w:rsidP="00541D2C">
      <w:pPr>
        <w:pStyle w:val="Tabletitle"/>
      </w:pPr>
    </w:p>
    <w:p w:rsidR="00541D2C" w:rsidRDefault="00541D2C" w:rsidP="00541D2C">
      <w:pPr>
        <w:pStyle w:val="Tabletitle"/>
        <w:rPr>
          <w:b/>
        </w:rPr>
      </w:pPr>
    </w:p>
    <w:p w:rsidR="00541D2C" w:rsidRDefault="00541D2C">
      <w:pPr>
        <w:rPr>
          <w:rFonts w:eastAsia="Times New Roman"/>
          <w:b/>
          <w:bCs/>
        </w:rPr>
      </w:pPr>
      <w:bookmarkStart w:id="6" w:name="_Toc466558109"/>
      <w:r>
        <w:rPr>
          <w:b/>
        </w:rPr>
        <w:br w:type="page"/>
      </w:r>
    </w:p>
    <w:p w:rsidR="00541D2C" w:rsidRDefault="00541D2C" w:rsidP="00541D2C">
      <w:pPr>
        <w:pStyle w:val="Tabletitle"/>
      </w:pPr>
      <w:proofErr w:type="gramStart"/>
      <w:r>
        <w:rPr>
          <w:b/>
        </w:rPr>
        <w:lastRenderedPageBreak/>
        <w:t>Table 3</w:t>
      </w:r>
      <w:r w:rsidRPr="00C47382">
        <w:t>.</w:t>
      </w:r>
      <w:proofErr w:type="gramEnd"/>
      <w:r w:rsidRPr="00C47382">
        <w:t xml:space="preserve"> </w:t>
      </w:r>
      <w:r>
        <w:t xml:space="preserve"> </w:t>
      </w:r>
      <w:r w:rsidRPr="00C47382">
        <w:t xml:space="preserve">Estimated </w:t>
      </w:r>
      <w:r>
        <w:t>range of dates</w:t>
      </w:r>
      <w:r w:rsidRPr="00C47382">
        <w:t xml:space="preserve"> when Atlantic cobia recreational </w:t>
      </w:r>
      <w:r>
        <w:t>landings</w:t>
      </w:r>
      <w:r w:rsidRPr="00C47382">
        <w:t xml:space="preserve"> would meet the recreational ACL </w:t>
      </w:r>
      <w:r>
        <w:t xml:space="preserve">under the proposed bag limit, vessel limit and minimum size limit in Framework Amendment 4, for each alternative.  This analysis includes </w:t>
      </w:r>
      <w:r w:rsidRPr="00A53EF1">
        <w:t>landings data from 2005-2014.</w:t>
      </w:r>
      <w:bookmarkEnd w:id="6"/>
      <w:r>
        <w:t xml:space="preserve"> </w:t>
      </w:r>
    </w:p>
    <w:tbl>
      <w:tblPr>
        <w:tblStyle w:val="TableGrid"/>
        <w:tblW w:w="0" w:type="auto"/>
        <w:tblLook w:val="04A0"/>
      </w:tblPr>
      <w:tblGrid>
        <w:gridCol w:w="2636"/>
        <w:gridCol w:w="2610"/>
        <w:gridCol w:w="3952"/>
      </w:tblGrid>
      <w:tr w:rsidR="00541D2C" w:rsidRPr="00220824" w:rsidTr="004F4B34">
        <w:tc>
          <w:tcPr>
            <w:tcW w:w="2636" w:type="dxa"/>
            <w:shd w:val="clear" w:color="auto" w:fill="FDE9D9" w:themeFill="accent6" w:themeFillTint="33"/>
            <w:vAlign w:val="center"/>
          </w:tcPr>
          <w:p w:rsidR="00541D2C" w:rsidRPr="00DF7665" w:rsidRDefault="00541D2C" w:rsidP="004F4B34">
            <w:pPr>
              <w:jc w:val="center"/>
              <w:rPr>
                <w:b/>
              </w:rPr>
            </w:pPr>
            <w:r>
              <w:rPr>
                <w:b/>
              </w:rPr>
              <w:t>Fishing Year</w:t>
            </w:r>
          </w:p>
        </w:tc>
        <w:tc>
          <w:tcPr>
            <w:tcW w:w="2610" w:type="dxa"/>
            <w:shd w:val="clear" w:color="auto" w:fill="FDE9D9" w:themeFill="accent6" w:themeFillTint="33"/>
            <w:vAlign w:val="center"/>
          </w:tcPr>
          <w:p w:rsidR="00541D2C" w:rsidRPr="00DF7665" w:rsidRDefault="00541D2C" w:rsidP="004F4B34">
            <w:pPr>
              <w:jc w:val="center"/>
              <w:rPr>
                <w:b/>
              </w:rPr>
            </w:pPr>
            <w:r w:rsidRPr="00DF7665">
              <w:rPr>
                <w:b/>
              </w:rPr>
              <w:t>1/person and</w:t>
            </w:r>
          </w:p>
          <w:p w:rsidR="00541D2C" w:rsidRPr="00DF7665" w:rsidRDefault="00541D2C" w:rsidP="004F4B34">
            <w:pPr>
              <w:jc w:val="center"/>
              <w:rPr>
                <w:b/>
              </w:rPr>
            </w:pPr>
            <w:r w:rsidRPr="00DF7665">
              <w:rPr>
                <w:b/>
              </w:rPr>
              <w:t>36” FL minimum size</w:t>
            </w:r>
          </w:p>
        </w:tc>
        <w:tc>
          <w:tcPr>
            <w:tcW w:w="3952" w:type="dxa"/>
            <w:shd w:val="clear" w:color="auto" w:fill="FDE9D9" w:themeFill="accent6" w:themeFillTint="33"/>
            <w:vAlign w:val="center"/>
          </w:tcPr>
          <w:p w:rsidR="00541D2C" w:rsidRPr="00DF7665" w:rsidRDefault="00541D2C" w:rsidP="004F4B34">
            <w:pPr>
              <w:jc w:val="center"/>
              <w:rPr>
                <w:b/>
              </w:rPr>
            </w:pPr>
            <w:r w:rsidRPr="00DF7665">
              <w:rPr>
                <w:b/>
              </w:rPr>
              <w:t>6/vessel and</w:t>
            </w:r>
          </w:p>
          <w:p w:rsidR="00541D2C" w:rsidRPr="00DF7665" w:rsidRDefault="00541D2C" w:rsidP="004F4B34">
            <w:pPr>
              <w:jc w:val="center"/>
              <w:rPr>
                <w:b/>
              </w:rPr>
            </w:pPr>
            <w:r w:rsidRPr="00DF7665">
              <w:rPr>
                <w:b/>
              </w:rPr>
              <w:t>36” FL minimum size</w:t>
            </w:r>
          </w:p>
        </w:tc>
      </w:tr>
      <w:tr w:rsidR="00541D2C" w:rsidRPr="00220824" w:rsidTr="004F4B34">
        <w:tc>
          <w:tcPr>
            <w:tcW w:w="2636" w:type="dxa"/>
            <w:vAlign w:val="center"/>
          </w:tcPr>
          <w:p w:rsidR="00541D2C" w:rsidRPr="00DF7665" w:rsidRDefault="00541D2C" w:rsidP="004F4B34">
            <w:pPr>
              <w:jc w:val="center"/>
              <w:rPr>
                <w:b/>
              </w:rPr>
            </w:pPr>
            <w:r w:rsidRPr="00DF7665">
              <w:rPr>
                <w:b/>
              </w:rPr>
              <w:t>Alternative 1 (No Action)</w:t>
            </w:r>
          </w:p>
          <w:p w:rsidR="00541D2C" w:rsidRPr="00220824" w:rsidRDefault="00541D2C" w:rsidP="004F4B34">
            <w:pPr>
              <w:jc w:val="center"/>
            </w:pPr>
            <w:r w:rsidRPr="00220824">
              <w:t>Jan 1 – Dec 31</w:t>
            </w:r>
          </w:p>
          <w:p w:rsidR="00541D2C" w:rsidRPr="00220824" w:rsidRDefault="00541D2C" w:rsidP="004F4B34">
            <w:pPr>
              <w:jc w:val="center"/>
            </w:pPr>
          </w:p>
        </w:tc>
        <w:tc>
          <w:tcPr>
            <w:tcW w:w="2610" w:type="dxa"/>
            <w:vAlign w:val="center"/>
          </w:tcPr>
          <w:p w:rsidR="00541D2C" w:rsidRDefault="00541D2C" w:rsidP="004F4B34">
            <w:pPr>
              <w:jc w:val="center"/>
            </w:pPr>
            <w:r>
              <w:t>Oct 23</w:t>
            </w:r>
          </w:p>
          <w:p w:rsidR="00541D2C" w:rsidRPr="00220824" w:rsidRDefault="00541D2C" w:rsidP="004F4B34">
            <w:pPr>
              <w:jc w:val="center"/>
            </w:pPr>
          </w:p>
        </w:tc>
        <w:tc>
          <w:tcPr>
            <w:tcW w:w="3952" w:type="dxa"/>
            <w:vAlign w:val="center"/>
          </w:tcPr>
          <w:p w:rsidR="00541D2C" w:rsidRDefault="00541D2C" w:rsidP="004F4B34">
            <w:pPr>
              <w:jc w:val="center"/>
            </w:pPr>
          </w:p>
          <w:p w:rsidR="00541D2C" w:rsidRDefault="00541D2C" w:rsidP="004F4B34">
            <w:pPr>
              <w:jc w:val="center"/>
            </w:pPr>
            <w:r>
              <w:t xml:space="preserve">Oct 11 </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9932EB">
              <w:rPr>
                <w:b/>
              </w:rPr>
              <w:t xml:space="preserve">Preferred </w:t>
            </w:r>
            <w:r w:rsidRPr="00DF7665">
              <w:rPr>
                <w:b/>
              </w:rPr>
              <w:t>Alternative 2</w:t>
            </w:r>
          </w:p>
          <w:p w:rsidR="00541D2C" w:rsidRPr="00220824" w:rsidRDefault="00541D2C" w:rsidP="004F4B34">
            <w:pPr>
              <w:jc w:val="center"/>
            </w:pPr>
            <w:r w:rsidRPr="00220824">
              <w:t>May 1 - Apr 30</w:t>
            </w:r>
          </w:p>
          <w:p w:rsidR="00541D2C" w:rsidRPr="00220824" w:rsidRDefault="00541D2C" w:rsidP="004F4B34">
            <w:pPr>
              <w:jc w:val="center"/>
            </w:pPr>
          </w:p>
        </w:tc>
        <w:tc>
          <w:tcPr>
            <w:tcW w:w="2610" w:type="dxa"/>
            <w:vAlign w:val="center"/>
          </w:tcPr>
          <w:p w:rsidR="00541D2C" w:rsidRDefault="00541D2C" w:rsidP="004F4B34">
            <w:pPr>
              <w:jc w:val="center"/>
            </w:pPr>
            <w:r>
              <w:t>March 21</w:t>
            </w:r>
          </w:p>
          <w:p w:rsidR="00541D2C" w:rsidRPr="00220824" w:rsidRDefault="00541D2C" w:rsidP="004F4B34">
            <w:pPr>
              <w:jc w:val="center"/>
            </w:pPr>
          </w:p>
        </w:tc>
        <w:tc>
          <w:tcPr>
            <w:tcW w:w="3952" w:type="dxa"/>
            <w:vAlign w:val="center"/>
          </w:tcPr>
          <w:p w:rsidR="00541D2C" w:rsidRDefault="00541D2C" w:rsidP="004F4B34">
            <w:pPr>
              <w:jc w:val="center"/>
            </w:pPr>
            <w:r>
              <w:t>Oct 31</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DF7665">
              <w:rPr>
                <w:b/>
              </w:rPr>
              <w:t>Alternative 3</w:t>
            </w:r>
          </w:p>
          <w:p w:rsidR="00541D2C" w:rsidRPr="00220824" w:rsidRDefault="00541D2C" w:rsidP="004F4B34">
            <w:pPr>
              <w:jc w:val="center"/>
            </w:pPr>
            <w:r w:rsidRPr="00220824">
              <w:t>June 1 - May 31</w:t>
            </w:r>
          </w:p>
          <w:p w:rsidR="00541D2C" w:rsidRPr="00220824" w:rsidRDefault="00541D2C" w:rsidP="004F4B34">
            <w:pPr>
              <w:jc w:val="center"/>
            </w:pPr>
          </w:p>
        </w:tc>
        <w:tc>
          <w:tcPr>
            <w:tcW w:w="2610" w:type="dxa"/>
            <w:vAlign w:val="center"/>
          </w:tcPr>
          <w:p w:rsidR="00541D2C" w:rsidRDefault="00541D2C" w:rsidP="004F4B34">
            <w:pPr>
              <w:jc w:val="center"/>
            </w:pPr>
            <w:r>
              <w:t xml:space="preserve">May 31 </w:t>
            </w:r>
          </w:p>
          <w:p w:rsidR="00541D2C" w:rsidRPr="00220824" w:rsidRDefault="00541D2C" w:rsidP="004F4B34">
            <w:pPr>
              <w:jc w:val="center"/>
            </w:pPr>
          </w:p>
        </w:tc>
        <w:tc>
          <w:tcPr>
            <w:tcW w:w="3952" w:type="dxa"/>
            <w:vAlign w:val="center"/>
          </w:tcPr>
          <w:p w:rsidR="00541D2C" w:rsidRDefault="00541D2C" w:rsidP="004F4B34">
            <w:pPr>
              <w:jc w:val="center"/>
            </w:pPr>
          </w:p>
          <w:p w:rsidR="00541D2C" w:rsidRDefault="00541D2C" w:rsidP="004F4B34">
            <w:pPr>
              <w:jc w:val="center"/>
            </w:pPr>
            <w:r>
              <w:t>May 29</w:t>
            </w:r>
          </w:p>
          <w:p w:rsidR="00541D2C" w:rsidRPr="00220824" w:rsidRDefault="00541D2C" w:rsidP="004F4B34">
            <w:pPr>
              <w:jc w:val="center"/>
            </w:pPr>
          </w:p>
        </w:tc>
      </w:tr>
      <w:tr w:rsidR="00541D2C" w:rsidRPr="00220824" w:rsidTr="004F4B34">
        <w:tc>
          <w:tcPr>
            <w:tcW w:w="2636" w:type="dxa"/>
            <w:vAlign w:val="center"/>
          </w:tcPr>
          <w:p w:rsidR="00541D2C" w:rsidRPr="00DF7665" w:rsidRDefault="00541D2C" w:rsidP="004F4B34">
            <w:pPr>
              <w:jc w:val="center"/>
              <w:rPr>
                <w:b/>
              </w:rPr>
            </w:pPr>
            <w:r w:rsidRPr="00DF7665">
              <w:rPr>
                <w:b/>
              </w:rPr>
              <w:t>Alternative 4</w:t>
            </w:r>
          </w:p>
          <w:p w:rsidR="00541D2C" w:rsidRPr="00220824" w:rsidRDefault="00541D2C" w:rsidP="004F4B34">
            <w:pPr>
              <w:jc w:val="center"/>
            </w:pPr>
            <w:r w:rsidRPr="00220824">
              <w:t>Apr 1 – Mar 31</w:t>
            </w:r>
          </w:p>
          <w:p w:rsidR="00541D2C" w:rsidRPr="00220824" w:rsidRDefault="00541D2C" w:rsidP="004F4B34">
            <w:pPr>
              <w:jc w:val="center"/>
            </w:pPr>
          </w:p>
        </w:tc>
        <w:tc>
          <w:tcPr>
            <w:tcW w:w="2610" w:type="dxa"/>
            <w:vAlign w:val="center"/>
          </w:tcPr>
          <w:p w:rsidR="00541D2C" w:rsidRDefault="00541D2C" w:rsidP="004F4B34">
            <w:pPr>
              <w:jc w:val="center"/>
            </w:pPr>
            <w:r>
              <w:t>Feb 12</w:t>
            </w:r>
          </w:p>
          <w:p w:rsidR="00541D2C" w:rsidRPr="00220824" w:rsidRDefault="00541D2C" w:rsidP="004F4B34">
            <w:pPr>
              <w:jc w:val="center"/>
            </w:pPr>
          </w:p>
        </w:tc>
        <w:tc>
          <w:tcPr>
            <w:tcW w:w="3952" w:type="dxa"/>
            <w:vAlign w:val="center"/>
          </w:tcPr>
          <w:p w:rsidR="00541D2C" w:rsidRDefault="00541D2C" w:rsidP="004F4B34">
            <w:pPr>
              <w:jc w:val="center"/>
            </w:pPr>
          </w:p>
          <w:p w:rsidR="00541D2C" w:rsidRDefault="00541D2C" w:rsidP="004F4B34">
            <w:pPr>
              <w:jc w:val="center"/>
            </w:pPr>
            <w:r>
              <w:t>Oct 25</w:t>
            </w:r>
          </w:p>
          <w:p w:rsidR="00541D2C" w:rsidRPr="00220824" w:rsidRDefault="00541D2C" w:rsidP="004F4B34">
            <w:pPr>
              <w:jc w:val="center"/>
            </w:pPr>
          </w:p>
        </w:tc>
      </w:tr>
    </w:tbl>
    <w:p w:rsidR="00541D2C" w:rsidRDefault="00541D2C" w:rsidP="00541D2C"/>
    <w:p w:rsidR="00541D2C" w:rsidRPr="00541D2C" w:rsidRDefault="007F0D70" w:rsidP="00541D2C">
      <w:pPr>
        <w:pStyle w:val="Heading2"/>
        <w:rPr>
          <w:b/>
        </w:rPr>
      </w:pPr>
      <w:r>
        <w:rPr>
          <w:b/>
        </w:rPr>
        <w:t>PUBLIC INPUT</w:t>
      </w:r>
    </w:p>
    <w:p w:rsidR="00541D2C" w:rsidRPr="00E02999" w:rsidRDefault="00541D2C" w:rsidP="00541D2C">
      <w:pPr>
        <w:rPr>
          <w:b/>
          <w:u w:val="single"/>
        </w:rPr>
      </w:pPr>
      <w:r w:rsidRPr="00E02999">
        <w:rPr>
          <w:b/>
          <w:u w:val="single"/>
        </w:rPr>
        <w:t>Comment summary from August 2016 hearings</w:t>
      </w:r>
      <w:r>
        <w:rPr>
          <w:b/>
          <w:u w:val="single"/>
        </w:rPr>
        <w:t xml:space="preserve"> on the recreational fishing year</w:t>
      </w:r>
    </w:p>
    <w:p w:rsidR="00541D2C" w:rsidRDefault="00541D2C" w:rsidP="00541D2C">
      <w:r>
        <w:t xml:space="preserve">There were only a few people who commented on this action. One individual supported No action, and one person supported Alternative 3 (June 1- May 31). Several </w:t>
      </w:r>
      <w:proofErr w:type="spellStart"/>
      <w:r>
        <w:t>commenters</w:t>
      </w:r>
      <w:proofErr w:type="spellEnd"/>
      <w:r>
        <w:t xml:space="preserve"> did state that it is important that the recreational fishery for Atlantic cobia is open for the month of May, for a season of May through September or October. </w:t>
      </w:r>
    </w:p>
    <w:p w:rsidR="00541D2C" w:rsidRDefault="00541D2C" w:rsidP="00541D2C"/>
    <w:p w:rsidR="00541D2C" w:rsidRDefault="00541D2C" w:rsidP="00541D2C"/>
    <w:p w:rsidR="00541D2C" w:rsidRDefault="00541D2C" w:rsidP="00541D2C">
      <w:pPr>
        <w:rPr>
          <w:b/>
          <w:u w:val="single"/>
        </w:rPr>
      </w:pPr>
      <w:r w:rsidRPr="00E02999">
        <w:rPr>
          <w:b/>
          <w:u w:val="single"/>
        </w:rPr>
        <w:t xml:space="preserve">Comment summary from </w:t>
      </w:r>
      <w:r>
        <w:rPr>
          <w:b/>
          <w:u w:val="single"/>
        </w:rPr>
        <w:t>October 2016 webinar hearing and comment period</w:t>
      </w:r>
    </w:p>
    <w:p w:rsidR="00541D2C" w:rsidRDefault="00541D2C" w:rsidP="00541D2C">
      <w:r>
        <w:t xml:space="preserve">- One commenter supported a season from May 1 through September 15, with the fishery closed the rest of the year. </w:t>
      </w:r>
    </w:p>
    <w:p w:rsidR="00541D2C" w:rsidRDefault="00541D2C" w:rsidP="00541D2C">
      <w:r>
        <w:t xml:space="preserve">- One commenter supported a closure in June and July for all state and federal waters. </w:t>
      </w:r>
    </w:p>
    <w:p w:rsidR="00541D2C" w:rsidRDefault="00541D2C" w:rsidP="00541D2C">
      <w:r>
        <w:t xml:space="preserve">- Three </w:t>
      </w:r>
      <w:proofErr w:type="spellStart"/>
      <w:r>
        <w:t>commenters</w:t>
      </w:r>
      <w:proofErr w:type="spellEnd"/>
      <w:r>
        <w:t xml:space="preserve"> supported Preferred Alternative 2 (May 1 opening), although one commenter felt that the effects analysis indicated that Alternative 3 (June 1 opening) would be the better choice because landings would reach the ACL further into the fishing year. </w:t>
      </w:r>
    </w:p>
    <w:p w:rsidR="00541D2C" w:rsidRDefault="00541D2C" w:rsidP="00541D2C">
      <w:r>
        <w:t xml:space="preserve">- One commenter supported Alternative 3 (June 1) as the best alternative for Virginia fishermen, but felt that state quotas would reduce negative impacts on other states. </w:t>
      </w:r>
    </w:p>
    <w:p w:rsidR="007F0D70" w:rsidRDefault="007F0D70" w:rsidP="007F0D70">
      <w:pPr>
        <w:rPr>
          <w:highlight w:val="yellow"/>
        </w:rPr>
      </w:pPr>
    </w:p>
    <w:p w:rsidR="00541D2C" w:rsidRPr="0041651C" w:rsidRDefault="00541D2C" w:rsidP="00541D2C">
      <w:pPr>
        <w:pStyle w:val="Heading2"/>
        <w:rPr>
          <w:b/>
        </w:rPr>
      </w:pPr>
      <w:r w:rsidRPr="00541D2C">
        <w:rPr>
          <w:b/>
          <w:highlight w:val="yellow"/>
        </w:rPr>
        <w:t>COMMITTEE ACTION</w:t>
      </w:r>
    </w:p>
    <w:p w:rsidR="00541D2C" w:rsidRPr="00541D2C" w:rsidRDefault="00541D2C" w:rsidP="00541D2C">
      <w:pPr>
        <w:rPr>
          <w:sz w:val="28"/>
        </w:rPr>
      </w:pPr>
      <w:r w:rsidRPr="00541D2C">
        <w:rPr>
          <w:sz w:val="32"/>
        </w:rPr>
        <w:t xml:space="preserve">1) </w:t>
      </w:r>
      <w:r w:rsidRPr="00541D2C">
        <w:rPr>
          <w:sz w:val="28"/>
        </w:rPr>
        <w:t xml:space="preserve">Do you want to change the preferred alternative? </w:t>
      </w:r>
    </w:p>
    <w:p w:rsidR="00541D2C" w:rsidRDefault="00541D2C" w:rsidP="007F0D70"/>
    <w:p w:rsidR="008D3DD8" w:rsidRDefault="008D3DD8" w:rsidP="008D3DD8">
      <w:r>
        <w:t xml:space="preserve">NOTE: The Committee needs to discuss how application of the recreational AM will apply with implementation of a new start date for the recreational fishing year. </w:t>
      </w:r>
    </w:p>
    <w:p w:rsidR="008D3DD8" w:rsidRDefault="008D3DD8" w:rsidP="008D3DD8">
      <w:r>
        <w:t xml:space="preserve">- How would a closure date (if needed) be calculated if the new fishing year is implemented mid-2017? </w:t>
      </w:r>
    </w:p>
    <w:p w:rsidR="008D3DD8" w:rsidRDefault="008D3DD8" w:rsidP="008D3DD8">
      <w:r>
        <w:t xml:space="preserve">- Retroactive to the start of that fishing year (e.g., SA yellowtail). </w:t>
      </w:r>
    </w:p>
    <w:p w:rsidR="00541D2C" w:rsidRDefault="00541D2C" w:rsidP="008D3DD8">
      <w:r>
        <w:br w:type="page"/>
      </w:r>
    </w:p>
    <w:p w:rsidR="005D40CF" w:rsidRDefault="00AC2BF3" w:rsidP="005D40CF">
      <w:pPr>
        <w:pStyle w:val="Heading1"/>
        <w:rPr>
          <w:lang w:val="en-US"/>
        </w:rPr>
      </w:pPr>
      <w:r w:rsidRPr="007F0D70">
        <w:rPr>
          <w:highlight w:val="yellow"/>
          <w:lang w:val="en-US"/>
        </w:rPr>
        <w:lastRenderedPageBreak/>
        <w:t>Draft motion to approve for formal review:</w:t>
      </w:r>
    </w:p>
    <w:p w:rsidR="00AC2BF3" w:rsidRPr="00AC2BF3" w:rsidRDefault="00AC2BF3" w:rsidP="00AC2BF3">
      <w:pPr>
        <w:rPr>
          <w:sz w:val="32"/>
          <w:szCs w:val="24"/>
        </w:rPr>
      </w:pPr>
      <w:r w:rsidRPr="00AC2BF3">
        <w:rPr>
          <w:sz w:val="32"/>
          <w:szCs w:val="24"/>
        </w:rPr>
        <w:t xml:space="preserve">Approve Coastal Migratory </w:t>
      </w:r>
      <w:proofErr w:type="spellStart"/>
      <w:r w:rsidRPr="00AC2BF3">
        <w:rPr>
          <w:sz w:val="32"/>
          <w:szCs w:val="24"/>
        </w:rPr>
        <w:t>Pelagics</w:t>
      </w:r>
      <w:proofErr w:type="spellEnd"/>
      <w:r w:rsidRPr="00AC2BF3">
        <w:rPr>
          <w:sz w:val="32"/>
          <w:szCs w:val="24"/>
        </w:rPr>
        <w:t xml:space="preserve"> </w:t>
      </w:r>
      <w:r w:rsidR="007F0D70">
        <w:rPr>
          <w:sz w:val="32"/>
          <w:szCs w:val="24"/>
        </w:rPr>
        <w:t>Amendment 30</w:t>
      </w:r>
      <w:r w:rsidRPr="00AC2BF3">
        <w:rPr>
          <w:sz w:val="32"/>
          <w:szCs w:val="24"/>
        </w:rPr>
        <w:t xml:space="preserve"> as modified for Secretarial review, and deem the codified text as necessary and appropriate. Give staff editorial license to make any necessary editorial changes to the document/codified text and give the Council Chair authority to approve the revisions and re-deem the codified text.</w:t>
      </w:r>
      <w:r>
        <w:rPr>
          <w:sz w:val="32"/>
          <w:szCs w:val="24"/>
        </w:rPr>
        <w:t xml:space="preserve"> </w:t>
      </w:r>
    </w:p>
    <w:p w:rsidR="00AC2BF3" w:rsidRDefault="00AC2BF3" w:rsidP="00AC2BF3">
      <w:pPr>
        <w:rPr>
          <w:lang/>
        </w:rPr>
      </w:pPr>
    </w:p>
    <w:p w:rsidR="00256855" w:rsidRPr="00AC2BF3" w:rsidRDefault="00256855" w:rsidP="00AC2BF3">
      <w:pPr>
        <w:rPr>
          <w:lang/>
        </w:rPr>
      </w:pPr>
      <w:r>
        <w:rPr>
          <w:lang/>
        </w:rPr>
        <w:t xml:space="preserve">NOTE: Including staff edits to address comments from SEFSC, GC and IPT. </w:t>
      </w:r>
    </w:p>
    <w:sectPr w:rsidR="00256855" w:rsidRPr="00AC2BF3" w:rsidSect="005367AE">
      <w:footerReference w:type="default" r:id="rId11"/>
      <w:footerReference w:type="first" r:id="rId12"/>
      <w:pgSz w:w="12240" w:h="15840"/>
      <w:pgMar w:top="1080" w:right="1080" w:bottom="1080" w:left="1080" w:header="720" w:footer="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968" w:rsidRDefault="006D2968" w:rsidP="008F536D">
      <w:r>
        <w:separator/>
      </w:r>
    </w:p>
  </w:endnote>
  <w:endnote w:type="continuationSeparator" w:id="0">
    <w:p w:rsidR="006D2968" w:rsidRDefault="006D2968" w:rsidP="008F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sewood Std Regular">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AF" w:rsidRPr="00A71801" w:rsidRDefault="003B096C" w:rsidP="007A3016">
    <w:pPr>
      <w:pStyle w:val="Footer"/>
      <w:rPr>
        <w:sz w:val="22"/>
      </w:rPr>
    </w:pPr>
    <w:r>
      <w:rPr>
        <w:sz w:val="22"/>
      </w:rPr>
      <w:t>CMP Amendment 30</w:t>
    </w:r>
    <w:r w:rsidR="00F317AF" w:rsidRPr="00A71801">
      <w:rPr>
        <w:sz w:val="22"/>
      </w:rPr>
      <w:tab/>
    </w:r>
    <w:r w:rsidR="00F317AF" w:rsidRPr="00A71801">
      <w:rPr>
        <w:sz w:val="22"/>
      </w:rPr>
      <w:tab/>
    </w:r>
    <w:r w:rsidR="00F317AF">
      <w:rPr>
        <w:sz w:val="22"/>
      </w:rPr>
      <w:t xml:space="preserve">SA Mackerel </w:t>
    </w:r>
    <w:r w:rsidR="00464FD3">
      <w:rPr>
        <w:sz w:val="22"/>
      </w:rPr>
      <w:t xml:space="preserve">Cobia </w:t>
    </w:r>
    <w:r w:rsidR="00F317AF">
      <w:rPr>
        <w:sz w:val="22"/>
      </w:rPr>
      <w:t>Committee</w:t>
    </w:r>
  </w:p>
  <w:p w:rsidR="00F317AF" w:rsidRPr="00A71801" w:rsidRDefault="00F317AF" w:rsidP="007A3016">
    <w:pPr>
      <w:pStyle w:val="Footer"/>
      <w:rPr>
        <w:sz w:val="22"/>
      </w:rPr>
    </w:pPr>
    <w:r>
      <w:rPr>
        <w:sz w:val="22"/>
      </w:rPr>
      <w:t>Decision Document</w:t>
    </w:r>
    <w:r w:rsidRPr="00A71801">
      <w:rPr>
        <w:sz w:val="22"/>
      </w:rPr>
      <w:tab/>
    </w:r>
    <w:r w:rsidRPr="00A71801">
      <w:rPr>
        <w:sz w:val="22"/>
      </w:rPr>
      <w:tab/>
    </w:r>
    <w:r w:rsidR="00DE4539">
      <w:rPr>
        <w:sz w:val="22"/>
      </w:rPr>
      <w:t>December</w:t>
    </w:r>
    <w:r>
      <w:rPr>
        <w:sz w:val="22"/>
      </w:rPr>
      <w:t xml:space="preserve"> 2016</w:t>
    </w:r>
  </w:p>
  <w:sdt>
    <w:sdtPr>
      <w:id w:val="879370199"/>
      <w:docPartObj>
        <w:docPartGallery w:val="Page Numbers (Bottom of Page)"/>
        <w:docPartUnique/>
      </w:docPartObj>
    </w:sdtPr>
    <w:sdtEndPr>
      <w:rPr>
        <w:noProof/>
      </w:rPr>
    </w:sdtEndPr>
    <w:sdtContent>
      <w:p w:rsidR="00F317AF" w:rsidRPr="00A71801" w:rsidRDefault="00653001" w:rsidP="007A3016">
        <w:pPr>
          <w:pStyle w:val="Footer"/>
          <w:jc w:val="center"/>
        </w:pPr>
        <w:r w:rsidRPr="00A71801">
          <w:rPr>
            <w:sz w:val="22"/>
          </w:rPr>
          <w:fldChar w:fldCharType="begin"/>
        </w:r>
        <w:r w:rsidR="00F317AF" w:rsidRPr="00A71801">
          <w:rPr>
            <w:sz w:val="22"/>
          </w:rPr>
          <w:instrText xml:space="preserve"> PAGE   \* MERGEFORMAT </w:instrText>
        </w:r>
        <w:r w:rsidRPr="00A71801">
          <w:rPr>
            <w:sz w:val="22"/>
          </w:rPr>
          <w:fldChar w:fldCharType="separate"/>
        </w:r>
        <w:r w:rsidR="00C90ADC">
          <w:rPr>
            <w:noProof/>
            <w:sz w:val="22"/>
          </w:rPr>
          <w:t>4</w:t>
        </w:r>
        <w:r w:rsidRPr="00A71801">
          <w:rPr>
            <w:noProof/>
            <w:sz w:val="22"/>
          </w:rPr>
          <w:fldChar w:fldCharType="end"/>
        </w:r>
      </w:p>
    </w:sdtContent>
  </w:sdt>
  <w:p w:rsidR="00F317AF" w:rsidRDefault="00F317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AF" w:rsidRDefault="00F317AF" w:rsidP="00063AD2">
    <w:pPr>
      <w:pStyle w:val="Footer"/>
      <w:tabs>
        <w:tab w:val="left" w:pos="1740"/>
        <w:tab w:val="center" w:pos="6660"/>
      </w:tabs>
    </w:pPr>
    <w:r>
      <w:tab/>
    </w:r>
    <w:r>
      <w:tab/>
    </w:r>
  </w:p>
  <w:p w:rsidR="00F317AF" w:rsidRDefault="00F31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968" w:rsidRDefault="006D2968" w:rsidP="008F536D">
      <w:r>
        <w:separator/>
      </w:r>
    </w:p>
  </w:footnote>
  <w:footnote w:type="continuationSeparator" w:id="0">
    <w:p w:rsidR="006D2968" w:rsidRDefault="006D2968" w:rsidP="008F5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7DE"/>
    <w:multiLevelType w:val="hybridMultilevel"/>
    <w:tmpl w:val="0544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3633B4"/>
    <w:multiLevelType w:val="hybridMultilevel"/>
    <w:tmpl w:val="B9E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84ED9"/>
    <w:multiLevelType w:val="hybridMultilevel"/>
    <w:tmpl w:val="2A64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53997"/>
    <w:multiLevelType w:val="hybridMultilevel"/>
    <w:tmpl w:val="221C0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8E03E7"/>
    <w:multiLevelType w:val="hybridMultilevel"/>
    <w:tmpl w:val="EDE861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536B3"/>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61FE2"/>
    <w:multiLevelType w:val="hybridMultilevel"/>
    <w:tmpl w:val="0DBE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E1B03"/>
    <w:multiLevelType w:val="hybridMultilevel"/>
    <w:tmpl w:val="F976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E7BD2"/>
    <w:multiLevelType w:val="hybridMultilevel"/>
    <w:tmpl w:val="E182B466"/>
    <w:lvl w:ilvl="0" w:tplc="FE00D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D74FD"/>
    <w:multiLevelType w:val="hybridMultilevel"/>
    <w:tmpl w:val="A62EE68A"/>
    <w:lvl w:ilvl="0" w:tplc="356CF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4776C"/>
    <w:multiLevelType w:val="hybridMultilevel"/>
    <w:tmpl w:val="713A3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96D11"/>
    <w:multiLevelType w:val="hybridMultilevel"/>
    <w:tmpl w:val="B79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A433C"/>
    <w:multiLevelType w:val="hybridMultilevel"/>
    <w:tmpl w:val="28A4A0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584304"/>
    <w:multiLevelType w:val="hybridMultilevel"/>
    <w:tmpl w:val="51AE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D0CF5"/>
    <w:multiLevelType w:val="hybridMultilevel"/>
    <w:tmpl w:val="7A080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14DC0"/>
    <w:multiLevelType w:val="hybridMultilevel"/>
    <w:tmpl w:val="FED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C5BCA"/>
    <w:multiLevelType w:val="hybridMultilevel"/>
    <w:tmpl w:val="E042C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2589E"/>
    <w:multiLevelType w:val="hybridMultilevel"/>
    <w:tmpl w:val="D3389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84FC4"/>
    <w:multiLevelType w:val="hybridMultilevel"/>
    <w:tmpl w:val="B3C62B5E"/>
    <w:lvl w:ilvl="0" w:tplc="EB9E91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F6809"/>
    <w:multiLevelType w:val="hybridMultilevel"/>
    <w:tmpl w:val="014C3C0A"/>
    <w:lvl w:ilvl="0" w:tplc="7F74F8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B0254"/>
    <w:multiLevelType w:val="hybridMultilevel"/>
    <w:tmpl w:val="FD9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3288E"/>
    <w:multiLevelType w:val="hybridMultilevel"/>
    <w:tmpl w:val="386AB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3139"/>
    <w:multiLevelType w:val="hybridMultilevel"/>
    <w:tmpl w:val="3B908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F74F8B0">
      <w:numFmt w:val="bullet"/>
      <w:lvlText w:val="-"/>
      <w:lvlJc w:val="left"/>
      <w:pPr>
        <w:ind w:left="2160" w:hanging="360"/>
      </w:pPr>
      <w:rPr>
        <w:rFonts w:ascii="Times New Roman" w:eastAsia="Calibri"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67E20"/>
    <w:multiLevelType w:val="hybridMultilevel"/>
    <w:tmpl w:val="8A3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37702"/>
    <w:multiLevelType w:val="hybridMultilevel"/>
    <w:tmpl w:val="D032CAD6"/>
    <w:lvl w:ilvl="0" w:tplc="4614F93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614F93C">
      <w:start w:val="15"/>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211B"/>
    <w:multiLevelType w:val="hybridMultilevel"/>
    <w:tmpl w:val="7806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915F4"/>
    <w:multiLevelType w:val="hybridMultilevel"/>
    <w:tmpl w:val="F558FCD4"/>
    <w:lvl w:ilvl="0" w:tplc="EAAA2AC2">
      <w:numFmt w:val="bullet"/>
      <w:lvlText w:val="-"/>
      <w:lvlJc w:val="left"/>
      <w:pPr>
        <w:ind w:left="450" w:hanging="360"/>
      </w:pPr>
      <w:rPr>
        <w:rFonts w:ascii="Cambria" w:eastAsiaTheme="minorHAnsi" w:hAnsi="Cambria"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7B4651C"/>
    <w:multiLevelType w:val="hybridMultilevel"/>
    <w:tmpl w:val="4F562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1959B1"/>
    <w:multiLevelType w:val="hybridMultilevel"/>
    <w:tmpl w:val="555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5445B"/>
    <w:multiLevelType w:val="hybridMultilevel"/>
    <w:tmpl w:val="174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7F3B31"/>
    <w:multiLevelType w:val="hybridMultilevel"/>
    <w:tmpl w:val="9D1A5658"/>
    <w:lvl w:ilvl="0" w:tplc="04090001">
      <w:start w:val="1"/>
      <w:numFmt w:val="bullet"/>
      <w:lvlText w:val=""/>
      <w:lvlJc w:val="left"/>
      <w:pPr>
        <w:ind w:left="720" w:hanging="360"/>
      </w:pPr>
      <w:rPr>
        <w:rFonts w:ascii="Symbol" w:hAnsi="Symbol" w:hint="default"/>
      </w:rPr>
    </w:lvl>
    <w:lvl w:ilvl="1" w:tplc="7F74F8B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8F1E45"/>
    <w:multiLevelType w:val="hybridMultilevel"/>
    <w:tmpl w:val="E00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44A12"/>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D61AD"/>
    <w:multiLevelType w:val="hybridMultilevel"/>
    <w:tmpl w:val="C5B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828FE"/>
    <w:multiLevelType w:val="hybridMultilevel"/>
    <w:tmpl w:val="BF2CA5F8"/>
    <w:lvl w:ilvl="0" w:tplc="61C2BEC6">
      <w:numFmt w:val="bullet"/>
      <w:lvlText w:val="-"/>
      <w:lvlJc w:val="left"/>
      <w:pPr>
        <w:ind w:left="2880" w:hanging="360"/>
      </w:pPr>
      <w:rPr>
        <w:rFonts w:ascii="Times New Roman" w:eastAsia="Arial Unicode MS"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8D1477F"/>
    <w:multiLevelType w:val="hybridMultilevel"/>
    <w:tmpl w:val="4C98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A4E93"/>
    <w:multiLevelType w:val="hybridMultilevel"/>
    <w:tmpl w:val="5C2201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587B1B"/>
    <w:multiLevelType w:val="hybridMultilevel"/>
    <w:tmpl w:val="270424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B556F3"/>
    <w:multiLevelType w:val="hybridMultilevel"/>
    <w:tmpl w:val="F552E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B6AB5"/>
    <w:multiLevelType w:val="hybridMultilevel"/>
    <w:tmpl w:val="504C0C6C"/>
    <w:lvl w:ilvl="0" w:tplc="04090001">
      <w:start w:val="1"/>
      <w:numFmt w:val="bullet"/>
      <w:lvlText w:val=""/>
      <w:lvlJc w:val="left"/>
      <w:pPr>
        <w:ind w:left="720" w:hanging="360"/>
      </w:pPr>
      <w:rPr>
        <w:rFonts w:ascii="Symbol" w:hAnsi="Symbol" w:hint="default"/>
      </w:rPr>
    </w:lvl>
    <w:lvl w:ilvl="1" w:tplc="EB9E915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5"/>
  </w:num>
  <w:num w:numId="4">
    <w:abstractNumId w:val="3"/>
  </w:num>
  <w:num w:numId="5">
    <w:abstractNumId w:val="4"/>
  </w:num>
  <w:num w:numId="6">
    <w:abstractNumId w:val="0"/>
  </w:num>
  <w:num w:numId="7">
    <w:abstractNumId w:val="24"/>
  </w:num>
  <w:num w:numId="8">
    <w:abstractNumId w:val="37"/>
  </w:num>
  <w:num w:numId="9">
    <w:abstractNumId w:val="38"/>
  </w:num>
  <w:num w:numId="10">
    <w:abstractNumId w:val="14"/>
  </w:num>
  <w:num w:numId="11">
    <w:abstractNumId w:val="34"/>
  </w:num>
  <w:num w:numId="12">
    <w:abstractNumId w:val="23"/>
  </w:num>
  <w:num w:numId="13">
    <w:abstractNumId w:val="33"/>
  </w:num>
  <w:num w:numId="14">
    <w:abstractNumId w:val="25"/>
  </w:num>
  <w:num w:numId="15">
    <w:abstractNumId w:val="8"/>
  </w:num>
  <w:num w:numId="16">
    <w:abstractNumId w:val="31"/>
  </w:num>
  <w:num w:numId="17">
    <w:abstractNumId w:val="22"/>
  </w:num>
  <w:num w:numId="18">
    <w:abstractNumId w:val="1"/>
  </w:num>
  <w:num w:numId="19">
    <w:abstractNumId w:val="9"/>
  </w:num>
  <w:num w:numId="20">
    <w:abstractNumId w:val="20"/>
  </w:num>
  <w:num w:numId="21">
    <w:abstractNumId w:val="2"/>
  </w:num>
  <w:num w:numId="22">
    <w:abstractNumId w:val="17"/>
  </w:num>
  <w:num w:numId="23">
    <w:abstractNumId w:val="35"/>
  </w:num>
  <w:num w:numId="24">
    <w:abstractNumId w:val="5"/>
  </w:num>
  <w:num w:numId="25">
    <w:abstractNumId w:val="32"/>
  </w:num>
  <w:num w:numId="26">
    <w:abstractNumId w:val="11"/>
  </w:num>
  <w:num w:numId="27">
    <w:abstractNumId w:val="39"/>
  </w:num>
  <w:num w:numId="28">
    <w:abstractNumId w:val="10"/>
  </w:num>
  <w:num w:numId="29">
    <w:abstractNumId w:val="27"/>
  </w:num>
  <w:num w:numId="30">
    <w:abstractNumId w:val="26"/>
  </w:num>
  <w:num w:numId="31">
    <w:abstractNumId w:val="16"/>
  </w:num>
  <w:num w:numId="32">
    <w:abstractNumId w:val="21"/>
  </w:num>
  <w:num w:numId="33">
    <w:abstractNumId w:val="12"/>
  </w:num>
  <w:num w:numId="34">
    <w:abstractNumId w:val="18"/>
  </w:num>
  <w:num w:numId="35">
    <w:abstractNumId w:val="19"/>
  </w:num>
  <w:num w:numId="36">
    <w:abstractNumId w:val="30"/>
  </w:num>
  <w:num w:numId="37">
    <w:abstractNumId w:val="6"/>
  </w:num>
  <w:num w:numId="38">
    <w:abstractNumId w:val="13"/>
  </w:num>
  <w:num w:numId="39">
    <w:abstractNumId w:val="36"/>
  </w:num>
  <w:num w:numId="4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B375C"/>
    <w:rsid w:val="000054EA"/>
    <w:rsid w:val="000067D3"/>
    <w:rsid w:val="00011669"/>
    <w:rsid w:val="00012A37"/>
    <w:rsid w:val="000177A7"/>
    <w:rsid w:val="00024E75"/>
    <w:rsid w:val="0002557F"/>
    <w:rsid w:val="000311E4"/>
    <w:rsid w:val="0003169E"/>
    <w:rsid w:val="00037F40"/>
    <w:rsid w:val="0004130B"/>
    <w:rsid w:val="0004163C"/>
    <w:rsid w:val="000449DD"/>
    <w:rsid w:val="00047AA4"/>
    <w:rsid w:val="0005409C"/>
    <w:rsid w:val="00056B29"/>
    <w:rsid w:val="00060C15"/>
    <w:rsid w:val="00063AD2"/>
    <w:rsid w:val="00064D48"/>
    <w:rsid w:val="0007685E"/>
    <w:rsid w:val="00076D9B"/>
    <w:rsid w:val="00083C99"/>
    <w:rsid w:val="0009100F"/>
    <w:rsid w:val="00092E36"/>
    <w:rsid w:val="00095F86"/>
    <w:rsid w:val="000960A3"/>
    <w:rsid w:val="00097F67"/>
    <w:rsid w:val="000A27CB"/>
    <w:rsid w:val="000A2B6D"/>
    <w:rsid w:val="000A69ED"/>
    <w:rsid w:val="000B21C0"/>
    <w:rsid w:val="000B5D68"/>
    <w:rsid w:val="000C1FC7"/>
    <w:rsid w:val="000D229D"/>
    <w:rsid w:val="000D4CFC"/>
    <w:rsid w:val="000D64AE"/>
    <w:rsid w:val="000D74BB"/>
    <w:rsid w:val="000E7FBD"/>
    <w:rsid w:val="000F27B8"/>
    <w:rsid w:val="000F46DF"/>
    <w:rsid w:val="000F5BC1"/>
    <w:rsid w:val="000F74EC"/>
    <w:rsid w:val="00104A8D"/>
    <w:rsid w:val="001073EB"/>
    <w:rsid w:val="001102A2"/>
    <w:rsid w:val="00111B05"/>
    <w:rsid w:val="0011357A"/>
    <w:rsid w:val="00120E9B"/>
    <w:rsid w:val="001264F8"/>
    <w:rsid w:val="00130FED"/>
    <w:rsid w:val="00132456"/>
    <w:rsid w:val="0013640C"/>
    <w:rsid w:val="00136641"/>
    <w:rsid w:val="00144F66"/>
    <w:rsid w:val="00154BF6"/>
    <w:rsid w:val="0015561A"/>
    <w:rsid w:val="0015697B"/>
    <w:rsid w:val="00162CB7"/>
    <w:rsid w:val="00165FA3"/>
    <w:rsid w:val="00175EA0"/>
    <w:rsid w:val="00180CE0"/>
    <w:rsid w:val="001810AA"/>
    <w:rsid w:val="001865EF"/>
    <w:rsid w:val="001934C3"/>
    <w:rsid w:val="001A06DC"/>
    <w:rsid w:val="001A0E00"/>
    <w:rsid w:val="001A10E2"/>
    <w:rsid w:val="001A1E1F"/>
    <w:rsid w:val="001A4CA6"/>
    <w:rsid w:val="001B3DEA"/>
    <w:rsid w:val="001B60FC"/>
    <w:rsid w:val="001C392D"/>
    <w:rsid w:val="001C4706"/>
    <w:rsid w:val="001D06CC"/>
    <w:rsid w:val="001D241F"/>
    <w:rsid w:val="001D3771"/>
    <w:rsid w:val="001D4D06"/>
    <w:rsid w:val="001D5E9A"/>
    <w:rsid w:val="001D77F9"/>
    <w:rsid w:val="001E3FB6"/>
    <w:rsid w:val="001E4DF1"/>
    <w:rsid w:val="001E52CF"/>
    <w:rsid w:val="001F3E5F"/>
    <w:rsid w:val="002117CE"/>
    <w:rsid w:val="002257F0"/>
    <w:rsid w:val="00225EF1"/>
    <w:rsid w:val="002406DE"/>
    <w:rsid w:val="00243497"/>
    <w:rsid w:val="002449AF"/>
    <w:rsid w:val="0025156C"/>
    <w:rsid w:val="00252372"/>
    <w:rsid w:val="002523C1"/>
    <w:rsid w:val="00254B4A"/>
    <w:rsid w:val="00256855"/>
    <w:rsid w:val="00271670"/>
    <w:rsid w:val="002766DE"/>
    <w:rsid w:val="0028288B"/>
    <w:rsid w:val="0028453E"/>
    <w:rsid w:val="002847B5"/>
    <w:rsid w:val="00290851"/>
    <w:rsid w:val="00294AAF"/>
    <w:rsid w:val="00294BEE"/>
    <w:rsid w:val="00297E3B"/>
    <w:rsid w:val="002A34FC"/>
    <w:rsid w:val="002B0E9C"/>
    <w:rsid w:val="002B1382"/>
    <w:rsid w:val="002B1C4F"/>
    <w:rsid w:val="002B3672"/>
    <w:rsid w:val="002B416F"/>
    <w:rsid w:val="002B4D52"/>
    <w:rsid w:val="002B6BEA"/>
    <w:rsid w:val="002C3F68"/>
    <w:rsid w:val="002C557D"/>
    <w:rsid w:val="002C75CA"/>
    <w:rsid w:val="002D07A4"/>
    <w:rsid w:val="002E2276"/>
    <w:rsid w:val="002E5D10"/>
    <w:rsid w:val="002E691A"/>
    <w:rsid w:val="002E77CA"/>
    <w:rsid w:val="002E7910"/>
    <w:rsid w:val="002F2803"/>
    <w:rsid w:val="002F7D82"/>
    <w:rsid w:val="00301C04"/>
    <w:rsid w:val="00303078"/>
    <w:rsid w:val="00305006"/>
    <w:rsid w:val="0030629B"/>
    <w:rsid w:val="003143DD"/>
    <w:rsid w:val="003148B6"/>
    <w:rsid w:val="00317047"/>
    <w:rsid w:val="00331215"/>
    <w:rsid w:val="00333F0E"/>
    <w:rsid w:val="003370BF"/>
    <w:rsid w:val="00341D5E"/>
    <w:rsid w:val="003540CC"/>
    <w:rsid w:val="003552AD"/>
    <w:rsid w:val="0035659E"/>
    <w:rsid w:val="00361D14"/>
    <w:rsid w:val="00362273"/>
    <w:rsid w:val="00362579"/>
    <w:rsid w:val="003677DB"/>
    <w:rsid w:val="003710A4"/>
    <w:rsid w:val="003712D2"/>
    <w:rsid w:val="003737F3"/>
    <w:rsid w:val="0037711F"/>
    <w:rsid w:val="00381E62"/>
    <w:rsid w:val="00383FA9"/>
    <w:rsid w:val="00385407"/>
    <w:rsid w:val="00386424"/>
    <w:rsid w:val="00392BD6"/>
    <w:rsid w:val="00393E33"/>
    <w:rsid w:val="00394942"/>
    <w:rsid w:val="00395B7B"/>
    <w:rsid w:val="003A20D2"/>
    <w:rsid w:val="003B096C"/>
    <w:rsid w:val="003C1B8F"/>
    <w:rsid w:val="003C1FD2"/>
    <w:rsid w:val="003C4F73"/>
    <w:rsid w:val="003C55AF"/>
    <w:rsid w:val="003D06FA"/>
    <w:rsid w:val="003D26DC"/>
    <w:rsid w:val="003D46E2"/>
    <w:rsid w:val="003D5E59"/>
    <w:rsid w:val="003E272C"/>
    <w:rsid w:val="003E410C"/>
    <w:rsid w:val="003E6F11"/>
    <w:rsid w:val="003F1421"/>
    <w:rsid w:val="003F1BDA"/>
    <w:rsid w:val="003F43AA"/>
    <w:rsid w:val="003F4A2F"/>
    <w:rsid w:val="00407013"/>
    <w:rsid w:val="0041111F"/>
    <w:rsid w:val="00411589"/>
    <w:rsid w:val="00415D99"/>
    <w:rsid w:val="0041651C"/>
    <w:rsid w:val="00416B6A"/>
    <w:rsid w:val="00416DDE"/>
    <w:rsid w:val="0042145C"/>
    <w:rsid w:val="00422DEB"/>
    <w:rsid w:val="00432C3E"/>
    <w:rsid w:val="00433E35"/>
    <w:rsid w:val="00435D9E"/>
    <w:rsid w:val="00436451"/>
    <w:rsid w:val="0044545E"/>
    <w:rsid w:val="00451AD4"/>
    <w:rsid w:val="00460E52"/>
    <w:rsid w:val="00464FD3"/>
    <w:rsid w:val="00465A99"/>
    <w:rsid w:val="004728CE"/>
    <w:rsid w:val="00480BFA"/>
    <w:rsid w:val="00485514"/>
    <w:rsid w:val="00486251"/>
    <w:rsid w:val="00487007"/>
    <w:rsid w:val="004A0AC1"/>
    <w:rsid w:val="004A3CCE"/>
    <w:rsid w:val="004B235C"/>
    <w:rsid w:val="004B3566"/>
    <w:rsid w:val="004B3EEA"/>
    <w:rsid w:val="004C04EE"/>
    <w:rsid w:val="004C2258"/>
    <w:rsid w:val="004E2096"/>
    <w:rsid w:val="004E20FA"/>
    <w:rsid w:val="004E45B5"/>
    <w:rsid w:val="004E75B4"/>
    <w:rsid w:val="004F33BD"/>
    <w:rsid w:val="004F36E4"/>
    <w:rsid w:val="004F4338"/>
    <w:rsid w:val="004F55C8"/>
    <w:rsid w:val="004F6A22"/>
    <w:rsid w:val="004F741B"/>
    <w:rsid w:val="00505D55"/>
    <w:rsid w:val="005103FB"/>
    <w:rsid w:val="005243C8"/>
    <w:rsid w:val="00525037"/>
    <w:rsid w:val="005325AB"/>
    <w:rsid w:val="005367AE"/>
    <w:rsid w:val="00541D2C"/>
    <w:rsid w:val="0054254B"/>
    <w:rsid w:val="00546F44"/>
    <w:rsid w:val="0054776C"/>
    <w:rsid w:val="00551A41"/>
    <w:rsid w:val="00560640"/>
    <w:rsid w:val="00564FE9"/>
    <w:rsid w:val="00565F47"/>
    <w:rsid w:val="00570D7C"/>
    <w:rsid w:val="005719CE"/>
    <w:rsid w:val="00571CDE"/>
    <w:rsid w:val="005819B4"/>
    <w:rsid w:val="00586C2A"/>
    <w:rsid w:val="00587F72"/>
    <w:rsid w:val="00593ABA"/>
    <w:rsid w:val="00594BB5"/>
    <w:rsid w:val="005969EA"/>
    <w:rsid w:val="00596AD0"/>
    <w:rsid w:val="00596F6F"/>
    <w:rsid w:val="0059707C"/>
    <w:rsid w:val="005A01DF"/>
    <w:rsid w:val="005A17BA"/>
    <w:rsid w:val="005B18F3"/>
    <w:rsid w:val="005B28F6"/>
    <w:rsid w:val="005B3338"/>
    <w:rsid w:val="005B3AE3"/>
    <w:rsid w:val="005B6DC3"/>
    <w:rsid w:val="005C3928"/>
    <w:rsid w:val="005C45A7"/>
    <w:rsid w:val="005D40CF"/>
    <w:rsid w:val="00602EB3"/>
    <w:rsid w:val="0060605B"/>
    <w:rsid w:val="00612D5E"/>
    <w:rsid w:val="00613A43"/>
    <w:rsid w:val="006203F7"/>
    <w:rsid w:val="0062052A"/>
    <w:rsid w:val="00620EAB"/>
    <w:rsid w:val="00623F37"/>
    <w:rsid w:val="00631A29"/>
    <w:rsid w:val="00632293"/>
    <w:rsid w:val="006353F2"/>
    <w:rsid w:val="00640841"/>
    <w:rsid w:val="006437F2"/>
    <w:rsid w:val="00643F67"/>
    <w:rsid w:val="006446B5"/>
    <w:rsid w:val="006502C0"/>
    <w:rsid w:val="00652472"/>
    <w:rsid w:val="00652880"/>
    <w:rsid w:val="00653001"/>
    <w:rsid w:val="00654532"/>
    <w:rsid w:val="00655B29"/>
    <w:rsid w:val="006560E5"/>
    <w:rsid w:val="006651ED"/>
    <w:rsid w:val="0067044B"/>
    <w:rsid w:val="00670E1B"/>
    <w:rsid w:val="00671CD7"/>
    <w:rsid w:val="0067437B"/>
    <w:rsid w:val="00675D09"/>
    <w:rsid w:val="006805E6"/>
    <w:rsid w:val="006819B0"/>
    <w:rsid w:val="00696D71"/>
    <w:rsid w:val="006A3C3C"/>
    <w:rsid w:val="006A72D5"/>
    <w:rsid w:val="006B0505"/>
    <w:rsid w:val="006B72E3"/>
    <w:rsid w:val="006C4854"/>
    <w:rsid w:val="006C5766"/>
    <w:rsid w:val="006C6A83"/>
    <w:rsid w:val="006C74A3"/>
    <w:rsid w:val="006D2968"/>
    <w:rsid w:val="006D42DE"/>
    <w:rsid w:val="006D48FC"/>
    <w:rsid w:val="006D7FA0"/>
    <w:rsid w:val="006F02FF"/>
    <w:rsid w:val="006F4064"/>
    <w:rsid w:val="006F5BF1"/>
    <w:rsid w:val="006F5E4D"/>
    <w:rsid w:val="00701A9D"/>
    <w:rsid w:val="00702BB9"/>
    <w:rsid w:val="00703BF9"/>
    <w:rsid w:val="00713511"/>
    <w:rsid w:val="007176A5"/>
    <w:rsid w:val="007204F7"/>
    <w:rsid w:val="00730358"/>
    <w:rsid w:val="007310E8"/>
    <w:rsid w:val="0073347A"/>
    <w:rsid w:val="00733D9A"/>
    <w:rsid w:val="00734083"/>
    <w:rsid w:val="00734E9A"/>
    <w:rsid w:val="0074008F"/>
    <w:rsid w:val="007510EB"/>
    <w:rsid w:val="00751978"/>
    <w:rsid w:val="00753CD2"/>
    <w:rsid w:val="0075770D"/>
    <w:rsid w:val="007606B5"/>
    <w:rsid w:val="00765D39"/>
    <w:rsid w:val="007870E4"/>
    <w:rsid w:val="007875AA"/>
    <w:rsid w:val="007917A5"/>
    <w:rsid w:val="00792B83"/>
    <w:rsid w:val="00796933"/>
    <w:rsid w:val="007977EB"/>
    <w:rsid w:val="007A0020"/>
    <w:rsid w:val="007A09A6"/>
    <w:rsid w:val="007A2EC0"/>
    <w:rsid w:val="007A3016"/>
    <w:rsid w:val="007A3C78"/>
    <w:rsid w:val="007A5E6E"/>
    <w:rsid w:val="007A5FFD"/>
    <w:rsid w:val="007B0840"/>
    <w:rsid w:val="007B1D29"/>
    <w:rsid w:val="007B1F8E"/>
    <w:rsid w:val="007B214D"/>
    <w:rsid w:val="007B64D6"/>
    <w:rsid w:val="007B6D3C"/>
    <w:rsid w:val="007B70D2"/>
    <w:rsid w:val="007C0AA9"/>
    <w:rsid w:val="007C34E3"/>
    <w:rsid w:val="007C361E"/>
    <w:rsid w:val="007D4AC7"/>
    <w:rsid w:val="007E0D99"/>
    <w:rsid w:val="007E3E11"/>
    <w:rsid w:val="007F0D70"/>
    <w:rsid w:val="007F284D"/>
    <w:rsid w:val="007F310F"/>
    <w:rsid w:val="007F3B71"/>
    <w:rsid w:val="008052C0"/>
    <w:rsid w:val="00805459"/>
    <w:rsid w:val="00807292"/>
    <w:rsid w:val="00807F9B"/>
    <w:rsid w:val="00811163"/>
    <w:rsid w:val="00811441"/>
    <w:rsid w:val="0081321D"/>
    <w:rsid w:val="008166A2"/>
    <w:rsid w:val="0083015D"/>
    <w:rsid w:val="0083200A"/>
    <w:rsid w:val="008351A2"/>
    <w:rsid w:val="00837D97"/>
    <w:rsid w:val="00846459"/>
    <w:rsid w:val="00855500"/>
    <w:rsid w:val="00855961"/>
    <w:rsid w:val="00856B7A"/>
    <w:rsid w:val="008609E0"/>
    <w:rsid w:val="00864F04"/>
    <w:rsid w:val="008760B0"/>
    <w:rsid w:val="00877D06"/>
    <w:rsid w:val="00881C2E"/>
    <w:rsid w:val="00887D99"/>
    <w:rsid w:val="00892596"/>
    <w:rsid w:val="00896375"/>
    <w:rsid w:val="008A46C2"/>
    <w:rsid w:val="008A542A"/>
    <w:rsid w:val="008A7179"/>
    <w:rsid w:val="008B41BB"/>
    <w:rsid w:val="008B6243"/>
    <w:rsid w:val="008C23FB"/>
    <w:rsid w:val="008C7C5D"/>
    <w:rsid w:val="008D3DD8"/>
    <w:rsid w:val="008D4E30"/>
    <w:rsid w:val="008D5815"/>
    <w:rsid w:val="008D7C10"/>
    <w:rsid w:val="008E06AE"/>
    <w:rsid w:val="008E502D"/>
    <w:rsid w:val="008F04BE"/>
    <w:rsid w:val="008F10BF"/>
    <w:rsid w:val="008F3B21"/>
    <w:rsid w:val="008F4912"/>
    <w:rsid w:val="008F536D"/>
    <w:rsid w:val="008F6C2E"/>
    <w:rsid w:val="00905F56"/>
    <w:rsid w:val="00910D52"/>
    <w:rsid w:val="00921520"/>
    <w:rsid w:val="00930995"/>
    <w:rsid w:val="0093521E"/>
    <w:rsid w:val="009425A7"/>
    <w:rsid w:val="00943C59"/>
    <w:rsid w:val="009477C6"/>
    <w:rsid w:val="009536CB"/>
    <w:rsid w:val="009603A9"/>
    <w:rsid w:val="009619E4"/>
    <w:rsid w:val="00962567"/>
    <w:rsid w:val="009649C1"/>
    <w:rsid w:val="00980677"/>
    <w:rsid w:val="00981249"/>
    <w:rsid w:val="0098135D"/>
    <w:rsid w:val="00982477"/>
    <w:rsid w:val="009855D5"/>
    <w:rsid w:val="00985705"/>
    <w:rsid w:val="00987767"/>
    <w:rsid w:val="009877B4"/>
    <w:rsid w:val="00991542"/>
    <w:rsid w:val="009B6C2A"/>
    <w:rsid w:val="009B6EAE"/>
    <w:rsid w:val="009C0A34"/>
    <w:rsid w:val="009C2289"/>
    <w:rsid w:val="009C3E39"/>
    <w:rsid w:val="009C6284"/>
    <w:rsid w:val="009D2EEF"/>
    <w:rsid w:val="009D47C3"/>
    <w:rsid w:val="009E1234"/>
    <w:rsid w:val="009E1B77"/>
    <w:rsid w:val="009F0E4A"/>
    <w:rsid w:val="009F3FCB"/>
    <w:rsid w:val="009F6CFF"/>
    <w:rsid w:val="00A00E85"/>
    <w:rsid w:val="00A02BB0"/>
    <w:rsid w:val="00A11DA4"/>
    <w:rsid w:val="00A11F46"/>
    <w:rsid w:val="00A13D4B"/>
    <w:rsid w:val="00A20451"/>
    <w:rsid w:val="00A27302"/>
    <w:rsid w:val="00A37D10"/>
    <w:rsid w:val="00A453B9"/>
    <w:rsid w:val="00A4796A"/>
    <w:rsid w:val="00A535D2"/>
    <w:rsid w:val="00A65C72"/>
    <w:rsid w:val="00A70964"/>
    <w:rsid w:val="00A70D71"/>
    <w:rsid w:val="00A7414C"/>
    <w:rsid w:val="00A74DA5"/>
    <w:rsid w:val="00A800B7"/>
    <w:rsid w:val="00A80E65"/>
    <w:rsid w:val="00A81A5B"/>
    <w:rsid w:val="00A827EC"/>
    <w:rsid w:val="00A84123"/>
    <w:rsid w:val="00A9331C"/>
    <w:rsid w:val="00AA280E"/>
    <w:rsid w:val="00AA2FCB"/>
    <w:rsid w:val="00AA5907"/>
    <w:rsid w:val="00AA71BF"/>
    <w:rsid w:val="00AA71C6"/>
    <w:rsid w:val="00AB1F23"/>
    <w:rsid w:val="00AC1002"/>
    <w:rsid w:val="00AC2BF3"/>
    <w:rsid w:val="00AC3005"/>
    <w:rsid w:val="00AC78DC"/>
    <w:rsid w:val="00AC7B96"/>
    <w:rsid w:val="00AD0AFE"/>
    <w:rsid w:val="00AD158E"/>
    <w:rsid w:val="00AD72A3"/>
    <w:rsid w:val="00AE1B6D"/>
    <w:rsid w:val="00AE2D42"/>
    <w:rsid w:val="00B009C9"/>
    <w:rsid w:val="00B04CD3"/>
    <w:rsid w:val="00B07DD6"/>
    <w:rsid w:val="00B11897"/>
    <w:rsid w:val="00B1400A"/>
    <w:rsid w:val="00B16703"/>
    <w:rsid w:val="00B25459"/>
    <w:rsid w:val="00B26890"/>
    <w:rsid w:val="00B27355"/>
    <w:rsid w:val="00B31D04"/>
    <w:rsid w:val="00B539BE"/>
    <w:rsid w:val="00B54DBB"/>
    <w:rsid w:val="00B60782"/>
    <w:rsid w:val="00B60C94"/>
    <w:rsid w:val="00B61D48"/>
    <w:rsid w:val="00B62515"/>
    <w:rsid w:val="00B6333C"/>
    <w:rsid w:val="00B66D33"/>
    <w:rsid w:val="00B73D55"/>
    <w:rsid w:val="00B73F0D"/>
    <w:rsid w:val="00B745C0"/>
    <w:rsid w:val="00B81199"/>
    <w:rsid w:val="00B87F74"/>
    <w:rsid w:val="00B9121C"/>
    <w:rsid w:val="00BA1C8A"/>
    <w:rsid w:val="00BA6D1B"/>
    <w:rsid w:val="00BA6FF6"/>
    <w:rsid w:val="00BA72FE"/>
    <w:rsid w:val="00BB3FDD"/>
    <w:rsid w:val="00BB5084"/>
    <w:rsid w:val="00BB6C87"/>
    <w:rsid w:val="00BB7E82"/>
    <w:rsid w:val="00BD0649"/>
    <w:rsid w:val="00BD6D8D"/>
    <w:rsid w:val="00BF4ECA"/>
    <w:rsid w:val="00C017C4"/>
    <w:rsid w:val="00C0693E"/>
    <w:rsid w:val="00C11FB8"/>
    <w:rsid w:val="00C13F08"/>
    <w:rsid w:val="00C16636"/>
    <w:rsid w:val="00C32AA0"/>
    <w:rsid w:val="00C40145"/>
    <w:rsid w:val="00C40361"/>
    <w:rsid w:val="00C40A5A"/>
    <w:rsid w:val="00C4421D"/>
    <w:rsid w:val="00C45391"/>
    <w:rsid w:val="00C472F6"/>
    <w:rsid w:val="00C505C0"/>
    <w:rsid w:val="00C51D57"/>
    <w:rsid w:val="00C54536"/>
    <w:rsid w:val="00C63285"/>
    <w:rsid w:val="00C63CF8"/>
    <w:rsid w:val="00C6544D"/>
    <w:rsid w:val="00C71C41"/>
    <w:rsid w:val="00C74B36"/>
    <w:rsid w:val="00C76185"/>
    <w:rsid w:val="00C80C2F"/>
    <w:rsid w:val="00C876FC"/>
    <w:rsid w:val="00C90ADC"/>
    <w:rsid w:val="00C94F0F"/>
    <w:rsid w:val="00C95929"/>
    <w:rsid w:val="00CA33F5"/>
    <w:rsid w:val="00CB0F7B"/>
    <w:rsid w:val="00CB43CB"/>
    <w:rsid w:val="00CB52A0"/>
    <w:rsid w:val="00CB61A9"/>
    <w:rsid w:val="00CB7733"/>
    <w:rsid w:val="00CC424C"/>
    <w:rsid w:val="00CE1875"/>
    <w:rsid w:val="00CE3334"/>
    <w:rsid w:val="00CE64B0"/>
    <w:rsid w:val="00CF1D96"/>
    <w:rsid w:val="00CF30E1"/>
    <w:rsid w:val="00CF349F"/>
    <w:rsid w:val="00CF5BD3"/>
    <w:rsid w:val="00CF5E94"/>
    <w:rsid w:val="00CF6E73"/>
    <w:rsid w:val="00D005A6"/>
    <w:rsid w:val="00D07423"/>
    <w:rsid w:val="00D11AFE"/>
    <w:rsid w:val="00D131CD"/>
    <w:rsid w:val="00D2055F"/>
    <w:rsid w:val="00D260AF"/>
    <w:rsid w:val="00D31155"/>
    <w:rsid w:val="00D33FB4"/>
    <w:rsid w:val="00D4021C"/>
    <w:rsid w:val="00D45903"/>
    <w:rsid w:val="00D45A5E"/>
    <w:rsid w:val="00D51CAD"/>
    <w:rsid w:val="00D51D7D"/>
    <w:rsid w:val="00D554C7"/>
    <w:rsid w:val="00D55A4E"/>
    <w:rsid w:val="00D56C3F"/>
    <w:rsid w:val="00D73DAE"/>
    <w:rsid w:val="00D81F7A"/>
    <w:rsid w:val="00D875EF"/>
    <w:rsid w:val="00D9042A"/>
    <w:rsid w:val="00D9272A"/>
    <w:rsid w:val="00D928DA"/>
    <w:rsid w:val="00D96299"/>
    <w:rsid w:val="00D9644E"/>
    <w:rsid w:val="00DA34F6"/>
    <w:rsid w:val="00DA54E0"/>
    <w:rsid w:val="00DA66CD"/>
    <w:rsid w:val="00DB375C"/>
    <w:rsid w:val="00DC3324"/>
    <w:rsid w:val="00DC7C9D"/>
    <w:rsid w:val="00DD25C3"/>
    <w:rsid w:val="00DD32F2"/>
    <w:rsid w:val="00DE20B6"/>
    <w:rsid w:val="00DE2A43"/>
    <w:rsid w:val="00DE4539"/>
    <w:rsid w:val="00DE4CF9"/>
    <w:rsid w:val="00DE59E6"/>
    <w:rsid w:val="00DE6DBF"/>
    <w:rsid w:val="00DF1E33"/>
    <w:rsid w:val="00DF3642"/>
    <w:rsid w:val="00DF3C8D"/>
    <w:rsid w:val="00DF58A0"/>
    <w:rsid w:val="00DF5FF6"/>
    <w:rsid w:val="00DF64C7"/>
    <w:rsid w:val="00E00BD0"/>
    <w:rsid w:val="00E01FAB"/>
    <w:rsid w:val="00E0471C"/>
    <w:rsid w:val="00E0508D"/>
    <w:rsid w:val="00E06803"/>
    <w:rsid w:val="00E13098"/>
    <w:rsid w:val="00E15BB0"/>
    <w:rsid w:val="00E16FFE"/>
    <w:rsid w:val="00E2162A"/>
    <w:rsid w:val="00E227D8"/>
    <w:rsid w:val="00E25FAB"/>
    <w:rsid w:val="00E27C33"/>
    <w:rsid w:val="00E53B9C"/>
    <w:rsid w:val="00E56158"/>
    <w:rsid w:val="00E63567"/>
    <w:rsid w:val="00E6479E"/>
    <w:rsid w:val="00E671EB"/>
    <w:rsid w:val="00E74EEB"/>
    <w:rsid w:val="00E80B5B"/>
    <w:rsid w:val="00E83EDB"/>
    <w:rsid w:val="00E86ED0"/>
    <w:rsid w:val="00E9639D"/>
    <w:rsid w:val="00E97399"/>
    <w:rsid w:val="00EA21CA"/>
    <w:rsid w:val="00EB4AAC"/>
    <w:rsid w:val="00EC7424"/>
    <w:rsid w:val="00ED722B"/>
    <w:rsid w:val="00EE0FF7"/>
    <w:rsid w:val="00EE4683"/>
    <w:rsid w:val="00EF08FF"/>
    <w:rsid w:val="00EF2A38"/>
    <w:rsid w:val="00EF5368"/>
    <w:rsid w:val="00EF6B4E"/>
    <w:rsid w:val="00EF748C"/>
    <w:rsid w:val="00F01B0F"/>
    <w:rsid w:val="00F02737"/>
    <w:rsid w:val="00F02A23"/>
    <w:rsid w:val="00F03E3F"/>
    <w:rsid w:val="00F1035A"/>
    <w:rsid w:val="00F11CCF"/>
    <w:rsid w:val="00F12920"/>
    <w:rsid w:val="00F150EE"/>
    <w:rsid w:val="00F24D40"/>
    <w:rsid w:val="00F25120"/>
    <w:rsid w:val="00F26033"/>
    <w:rsid w:val="00F317AF"/>
    <w:rsid w:val="00F33751"/>
    <w:rsid w:val="00F343B9"/>
    <w:rsid w:val="00F353F3"/>
    <w:rsid w:val="00F35A4D"/>
    <w:rsid w:val="00F36213"/>
    <w:rsid w:val="00F46FAB"/>
    <w:rsid w:val="00F47523"/>
    <w:rsid w:val="00F50D2E"/>
    <w:rsid w:val="00F5252F"/>
    <w:rsid w:val="00F70102"/>
    <w:rsid w:val="00F71B8F"/>
    <w:rsid w:val="00F74CE2"/>
    <w:rsid w:val="00F8319B"/>
    <w:rsid w:val="00F83800"/>
    <w:rsid w:val="00F87485"/>
    <w:rsid w:val="00F876ED"/>
    <w:rsid w:val="00F90BA1"/>
    <w:rsid w:val="00F94C97"/>
    <w:rsid w:val="00FA03B4"/>
    <w:rsid w:val="00FA2FAB"/>
    <w:rsid w:val="00FA32EB"/>
    <w:rsid w:val="00FB096A"/>
    <w:rsid w:val="00FB16AF"/>
    <w:rsid w:val="00FB61D6"/>
    <w:rsid w:val="00FB7468"/>
    <w:rsid w:val="00FC3356"/>
    <w:rsid w:val="00FC4A4B"/>
    <w:rsid w:val="00FC6E69"/>
    <w:rsid w:val="00FD0A83"/>
    <w:rsid w:val="00FD17CE"/>
    <w:rsid w:val="00FD4AB0"/>
    <w:rsid w:val="00FE4327"/>
    <w:rsid w:val="00FE5C79"/>
    <w:rsid w:val="00FF33A5"/>
    <w:rsid w:val="00FF6745"/>
    <w:rsid w:val="00FF6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B"/>
    <w:rPr>
      <w:rFonts w:ascii="Times New Roman" w:hAnsi="Times New Roman"/>
      <w:sz w:val="24"/>
      <w:szCs w:val="22"/>
    </w:rPr>
  </w:style>
  <w:style w:type="paragraph" w:styleId="Heading1">
    <w:name w:val="heading 1"/>
    <w:basedOn w:val="Normal"/>
    <w:next w:val="Normal"/>
    <w:link w:val="Heading1Char1"/>
    <w:qFormat/>
    <w:rsid w:val="00E83EDB"/>
    <w:pPr>
      <w:keepNext/>
      <w:spacing w:before="240" w:after="60"/>
      <w:outlineLvl w:val="0"/>
    </w:pPr>
    <w:rPr>
      <w:rFonts w:eastAsia="Times New Roman"/>
      <w:b/>
      <w:bCs/>
      <w:kern w:val="32"/>
      <w:sz w:val="28"/>
      <w:szCs w:val="32"/>
      <w:u w:val="single"/>
      <w:lang/>
    </w:rPr>
  </w:style>
  <w:style w:type="paragraph" w:styleId="Heading2">
    <w:name w:val="heading 2"/>
    <w:basedOn w:val="Normal"/>
    <w:next w:val="Normal"/>
    <w:link w:val="Heading2Char"/>
    <w:uiPriority w:val="9"/>
    <w:qFormat/>
    <w:rsid w:val="00E83EDB"/>
    <w:pPr>
      <w:keepNext/>
      <w:keepLines/>
      <w:spacing w:before="200"/>
      <w:outlineLvl w:val="1"/>
    </w:pPr>
    <w:rPr>
      <w:rFonts w:eastAsia="Times New Roman"/>
      <w:bCs/>
      <w:sz w:val="28"/>
      <w:szCs w:val="26"/>
    </w:rPr>
  </w:style>
  <w:style w:type="paragraph" w:styleId="Heading3">
    <w:name w:val="heading 3"/>
    <w:basedOn w:val="Normal"/>
    <w:next w:val="Normal"/>
    <w:link w:val="Heading3Char"/>
    <w:uiPriority w:val="9"/>
    <w:unhideWhenUsed/>
    <w:qFormat/>
    <w:rsid w:val="00CF30E1"/>
    <w:pPr>
      <w:keepNext/>
      <w:keepLines/>
      <w:spacing w:before="20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1E52CF"/>
    <w:rPr>
      <w:rFonts w:ascii="Times New Roman" w:eastAsia="Times New Roman" w:hAnsi="Times New Roman"/>
      <w:b/>
      <w:bCs/>
      <w:kern w:val="32"/>
      <w:sz w:val="28"/>
      <w:szCs w:val="32"/>
      <w:u w:val="single"/>
      <w:lang/>
    </w:rPr>
  </w:style>
  <w:style w:type="paragraph" w:styleId="BalloonText">
    <w:name w:val="Balloon Text"/>
    <w:basedOn w:val="Normal"/>
    <w:link w:val="BalloonTextChar"/>
    <w:uiPriority w:val="99"/>
    <w:semiHidden/>
    <w:unhideWhenUsed/>
    <w:rsid w:val="00C44D49"/>
    <w:rPr>
      <w:rFonts w:ascii="Tahoma" w:hAnsi="Tahoma" w:cs="Tahoma"/>
      <w:sz w:val="16"/>
      <w:szCs w:val="16"/>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ColorfulShading-Accent31">
    <w:name w:val="Colorful Shading - Accent 3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83EDB"/>
    <w:rPr>
      <w:rFonts w:ascii="Times New Roman" w:eastAsia="Times New Roman" w:hAnsi="Times New Roman"/>
      <w:bCs/>
      <w:sz w:val="28"/>
      <w:szCs w:val="26"/>
    </w:rPr>
  </w:style>
  <w:style w:type="paragraph" w:styleId="DocumentMap">
    <w:name w:val="Document Map"/>
    <w:basedOn w:val="Normal"/>
    <w:link w:val="DocumentMapChar"/>
    <w:uiPriority w:val="99"/>
    <w:semiHidden/>
    <w:unhideWhenUsed/>
    <w:rsid w:val="00591D20"/>
    <w:rPr>
      <w:rFonts w:ascii="Tahoma" w:hAnsi="Tahoma" w:cs="Tahoma"/>
      <w:sz w:val="16"/>
      <w:szCs w:val="16"/>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unhideWhenUsed/>
    <w:rsid w:val="00B44968"/>
    <w:rPr>
      <w:sz w:val="16"/>
      <w:szCs w:val="16"/>
    </w:rPr>
  </w:style>
  <w:style w:type="paragraph" w:styleId="CommentText">
    <w:name w:val="annotation text"/>
    <w:basedOn w:val="Normal"/>
    <w:link w:val="CommentTextChar"/>
    <w:uiPriority w:val="99"/>
    <w:unhideWhenUsed/>
    <w:rsid w:val="00B44968"/>
    <w:rPr>
      <w:sz w:val="20"/>
      <w:szCs w:val="20"/>
    </w:rPr>
  </w:style>
  <w:style w:type="character" w:customStyle="1" w:styleId="CommentTextChar">
    <w:name w:val="Comment Text Char"/>
    <w:link w:val="CommentText"/>
    <w:uiPriority w:val="99"/>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table" w:styleId="TableGrid">
    <w:name w:val="Table Grid"/>
    <w:basedOn w:val="TableNormal"/>
    <w:uiPriority w:val="59"/>
    <w:rsid w:val="00E04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D71"/>
    <w:pPr>
      <w:ind w:left="720"/>
      <w:contextualSpacing/>
    </w:pPr>
  </w:style>
  <w:style w:type="paragraph" w:customStyle="1" w:styleId="Figuretitle">
    <w:name w:val="Figure title"/>
    <w:basedOn w:val="Normal"/>
    <w:link w:val="FiguretitleChar1"/>
    <w:qFormat/>
    <w:rsid w:val="00A535D2"/>
    <w:rPr>
      <w:rFonts w:asciiTheme="minorHAnsi" w:eastAsia="Times New Roman" w:hAnsiTheme="minorHAnsi"/>
      <w:sz w:val="22"/>
    </w:rPr>
  </w:style>
  <w:style w:type="character" w:customStyle="1" w:styleId="FiguretitleChar1">
    <w:name w:val="Figure title Char1"/>
    <w:link w:val="Figuretitle"/>
    <w:rsid w:val="00A535D2"/>
    <w:rPr>
      <w:rFonts w:asciiTheme="minorHAnsi" w:eastAsia="Times New Roman" w:hAnsiTheme="minorHAnsi"/>
      <w:sz w:val="22"/>
      <w:szCs w:val="22"/>
    </w:rPr>
  </w:style>
  <w:style w:type="character" w:styleId="Hyperlink">
    <w:name w:val="Hyperlink"/>
    <w:rsid w:val="001A06DC"/>
    <w:rPr>
      <w:color w:val="0000FF"/>
      <w:u w:val="single"/>
    </w:rPr>
  </w:style>
  <w:style w:type="paragraph" w:styleId="NoSpacing">
    <w:name w:val="No Spacing"/>
    <w:link w:val="NoSpacingChar"/>
    <w:uiPriority w:val="1"/>
    <w:qFormat/>
    <w:rsid w:val="004F36E4"/>
    <w:pPr>
      <w:widowControl w:val="0"/>
    </w:pPr>
    <w:rPr>
      <w:rFonts w:ascii="Times New Roman" w:eastAsia="Times New Roman" w:hAnsi="Times New Roman"/>
    </w:rPr>
  </w:style>
  <w:style w:type="character" w:customStyle="1" w:styleId="NoSpacingChar">
    <w:name w:val="No Spacing Char"/>
    <w:basedOn w:val="DefaultParagraphFont"/>
    <w:link w:val="NoSpacing"/>
    <w:uiPriority w:val="1"/>
    <w:locked/>
    <w:rsid w:val="004F36E4"/>
    <w:rPr>
      <w:rFonts w:ascii="Times New Roman" w:eastAsia="Times New Roman" w:hAnsi="Times New Roman"/>
    </w:rPr>
  </w:style>
  <w:style w:type="table" w:customStyle="1" w:styleId="TableGrid1">
    <w:name w:val="Table Grid1"/>
    <w:basedOn w:val="TableNormal"/>
    <w:next w:val="TableGrid"/>
    <w:uiPriority w:val="59"/>
    <w:rsid w:val="00E53B9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30E1"/>
    <w:rPr>
      <w:rFonts w:asciiTheme="majorHAnsi" w:eastAsiaTheme="majorEastAsia" w:hAnsiTheme="majorHAnsi" w:cstheme="majorBidi"/>
      <w:bCs/>
      <w:sz w:val="24"/>
      <w:szCs w:val="22"/>
    </w:rPr>
  </w:style>
  <w:style w:type="paragraph" w:styleId="Revision">
    <w:name w:val="Revision"/>
    <w:hidden/>
    <w:uiPriority w:val="99"/>
    <w:semiHidden/>
    <w:rsid w:val="007B1D29"/>
    <w:rPr>
      <w:rFonts w:ascii="Times New Roman" w:hAnsi="Times New Roman"/>
      <w:sz w:val="24"/>
      <w:szCs w:val="22"/>
    </w:rPr>
  </w:style>
  <w:style w:type="character" w:styleId="FollowedHyperlink">
    <w:name w:val="FollowedHyperlink"/>
    <w:basedOn w:val="DefaultParagraphFont"/>
    <w:uiPriority w:val="99"/>
    <w:semiHidden/>
    <w:unhideWhenUsed/>
    <w:rsid w:val="009E1B77"/>
    <w:rPr>
      <w:color w:val="800080" w:themeColor="followedHyperlink"/>
      <w:u w:val="single"/>
    </w:rPr>
  </w:style>
  <w:style w:type="table" w:customStyle="1" w:styleId="LightShading-Accent121">
    <w:name w:val="Light Shading - Accent 121"/>
    <w:basedOn w:val="TableNormal"/>
    <w:uiPriority w:val="60"/>
    <w:rsid w:val="00E227D8"/>
    <w:rPr>
      <w:rFonts w:ascii="Times New Roman" w:eastAsiaTheme="minorHAnsi" w:hAnsi="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itle">
    <w:name w:val="Table title"/>
    <w:basedOn w:val="Normal"/>
    <w:link w:val="TabletitleChar3"/>
    <w:qFormat/>
    <w:rsid w:val="002B6BEA"/>
    <w:rPr>
      <w:rFonts w:eastAsia="Times New Roman"/>
      <w:bCs/>
    </w:rPr>
  </w:style>
  <w:style w:type="character" w:customStyle="1" w:styleId="TabletitleChar3">
    <w:name w:val="Table title Char3"/>
    <w:basedOn w:val="DefaultParagraphFont"/>
    <w:link w:val="Tabletitle"/>
    <w:rsid w:val="002B6BEA"/>
    <w:rPr>
      <w:rFonts w:ascii="Times New Roman" w:eastAsia="Times New Roman" w:hAnsi="Times New Roman"/>
      <w:bCs/>
      <w:sz w:val="24"/>
      <w:szCs w:val="22"/>
    </w:rPr>
  </w:style>
  <w:style w:type="table" w:customStyle="1" w:styleId="GridTable4-Accent11">
    <w:name w:val="Grid Table 4 - Accent 11"/>
    <w:basedOn w:val="TableNormal"/>
    <w:uiPriority w:val="49"/>
    <w:rsid w:val="002B6BEA"/>
    <w:rPr>
      <w:rFonts w:ascii="Times New Roman" w:hAnsi="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0">
    <w:name w:val="Grid Table 4 - Accent 11"/>
    <w:basedOn w:val="TableNormal"/>
    <w:uiPriority w:val="49"/>
    <w:rsid w:val="0041111F"/>
    <w:rPr>
      <w:rFonts w:ascii="Times New Roman" w:hAnsi="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qFormat/>
    <w:rsid w:val="00910D52"/>
    <w:pPr>
      <w:tabs>
        <w:tab w:val="left" w:pos="0"/>
        <w:tab w:val="left" w:pos="360"/>
        <w:tab w:val="left" w:pos="720"/>
        <w:tab w:val="left" w:pos="1080"/>
        <w:tab w:val="left" w:pos="1440"/>
        <w:tab w:val="left" w:pos="2160"/>
        <w:tab w:val="left" w:pos="5760"/>
        <w:tab w:val="left" w:pos="8640"/>
        <w:tab w:val="left" w:pos="10080"/>
      </w:tabs>
    </w:pPr>
    <w:rPr>
      <w:rFonts w:eastAsia="Times New Roman"/>
      <w:b/>
      <w:szCs w:val="20"/>
    </w:rPr>
  </w:style>
  <w:style w:type="character" w:styleId="FootnoteReference">
    <w:name w:val="footnote reference"/>
    <w:basedOn w:val="DefaultParagraphFont"/>
    <w:uiPriority w:val="99"/>
    <w:rsid w:val="00586C2A"/>
    <w:rPr>
      <w:vertAlign w:val="superscript"/>
    </w:rPr>
  </w:style>
  <w:style w:type="paragraph" w:styleId="FootnoteText">
    <w:name w:val="footnote text"/>
    <w:basedOn w:val="Normal"/>
    <w:link w:val="FootnoteTextChar"/>
    <w:uiPriority w:val="99"/>
    <w:rsid w:val="00586C2A"/>
    <w:pPr>
      <w:spacing w:after="200"/>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586C2A"/>
    <w:rPr>
      <w:rFonts w:ascii="Arial" w:eastAsia="Times New Roman" w:hAnsi="Arial"/>
    </w:rPr>
  </w:style>
  <w:style w:type="character" w:customStyle="1" w:styleId="FootnoteTextChar1">
    <w:name w:val="Footnote Text Char1"/>
    <w:basedOn w:val="DefaultParagraphFont"/>
    <w:uiPriority w:val="99"/>
    <w:locked/>
    <w:rsid w:val="003B096C"/>
  </w:style>
</w:styles>
</file>

<file path=word/webSettings.xml><?xml version="1.0" encoding="utf-8"?>
<w:webSettings xmlns:r="http://schemas.openxmlformats.org/officeDocument/2006/relationships" xmlns:w="http://schemas.openxmlformats.org/wordprocessingml/2006/main">
  <w:divs>
    <w:div w:id="1010825">
      <w:bodyDiv w:val="1"/>
      <w:marLeft w:val="0"/>
      <w:marRight w:val="0"/>
      <w:marTop w:val="0"/>
      <w:marBottom w:val="0"/>
      <w:divBdr>
        <w:top w:val="none" w:sz="0" w:space="0" w:color="auto"/>
        <w:left w:val="none" w:sz="0" w:space="0" w:color="auto"/>
        <w:bottom w:val="none" w:sz="0" w:space="0" w:color="auto"/>
        <w:right w:val="none" w:sz="0" w:space="0" w:color="auto"/>
      </w:divBdr>
    </w:div>
    <w:div w:id="8261239">
      <w:bodyDiv w:val="1"/>
      <w:marLeft w:val="0"/>
      <w:marRight w:val="0"/>
      <w:marTop w:val="0"/>
      <w:marBottom w:val="0"/>
      <w:divBdr>
        <w:top w:val="none" w:sz="0" w:space="0" w:color="auto"/>
        <w:left w:val="none" w:sz="0" w:space="0" w:color="auto"/>
        <w:bottom w:val="none" w:sz="0" w:space="0" w:color="auto"/>
        <w:right w:val="none" w:sz="0" w:space="0" w:color="auto"/>
      </w:divBdr>
    </w:div>
    <w:div w:id="131487814">
      <w:bodyDiv w:val="1"/>
      <w:marLeft w:val="0"/>
      <w:marRight w:val="0"/>
      <w:marTop w:val="0"/>
      <w:marBottom w:val="0"/>
      <w:divBdr>
        <w:top w:val="none" w:sz="0" w:space="0" w:color="auto"/>
        <w:left w:val="none" w:sz="0" w:space="0" w:color="auto"/>
        <w:bottom w:val="none" w:sz="0" w:space="0" w:color="auto"/>
        <w:right w:val="none" w:sz="0" w:space="0" w:color="auto"/>
      </w:divBdr>
    </w:div>
    <w:div w:id="183641896">
      <w:bodyDiv w:val="1"/>
      <w:marLeft w:val="0"/>
      <w:marRight w:val="0"/>
      <w:marTop w:val="0"/>
      <w:marBottom w:val="0"/>
      <w:divBdr>
        <w:top w:val="none" w:sz="0" w:space="0" w:color="auto"/>
        <w:left w:val="none" w:sz="0" w:space="0" w:color="auto"/>
        <w:bottom w:val="none" w:sz="0" w:space="0" w:color="auto"/>
        <w:right w:val="none" w:sz="0" w:space="0" w:color="auto"/>
      </w:divBdr>
    </w:div>
    <w:div w:id="252595178">
      <w:bodyDiv w:val="1"/>
      <w:marLeft w:val="0"/>
      <w:marRight w:val="0"/>
      <w:marTop w:val="0"/>
      <w:marBottom w:val="0"/>
      <w:divBdr>
        <w:top w:val="none" w:sz="0" w:space="0" w:color="auto"/>
        <w:left w:val="none" w:sz="0" w:space="0" w:color="auto"/>
        <w:bottom w:val="none" w:sz="0" w:space="0" w:color="auto"/>
        <w:right w:val="none" w:sz="0" w:space="0" w:color="auto"/>
      </w:divBdr>
    </w:div>
    <w:div w:id="372464642">
      <w:bodyDiv w:val="1"/>
      <w:marLeft w:val="0"/>
      <w:marRight w:val="0"/>
      <w:marTop w:val="0"/>
      <w:marBottom w:val="0"/>
      <w:divBdr>
        <w:top w:val="none" w:sz="0" w:space="0" w:color="auto"/>
        <w:left w:val="none" w:sz="0" w:space="0" w:color="auto"/>
        <w:bottom w:val="none" w:sz="0" w:space="0" w:color="auto"/>
        <w:right w:val="none" w:sz="0" w:space="0" w:color="auto"/>
      </w:divBdr>
    </w:div>
    <w:div w:id="420175261">
      <w:bodyDiv w:val="1"/>
      <w:marLeft w:val="0"/>
      <w:marRight w:val="0"/>
      <w:marTop w:val="0"/>
      <w:marBottom w:val="0"/>
      <w:divBdr>
        <w:top w:val="none" w:sz="0" w:space="0" w:color="auto"/>
        <w:left w:val="none" w:sz="0" w:space="0" w:color="auto"/>
        <w:bottom w:val="none" w:sz="0" w:space="0" w:color="auto"/>
        <w:right w:val="none" w:sz="0" w:space="0" w:color="auto"/>
      </w:divBdr>
    </w:div>
    <w:div w:id="534393710">
      <w:bodyDiv w:val="1"/>
      <w:marLeft w:val="0"/>
      <w:marRight w:val="0"/>
      <w:marTop w:val="0"/>
      <w:marBottom w:val="0"/>
      <w:divBdr>
        <w:top w:val="none" w:sz="0" w:space="0" w:color="auto"/>
        <w:left w:val="none" w:sz="0" w:space="0" w:color="auto"/>
        <w:bottom w:val="none" w:sz="0" w:space="0" w:color="auto"/>
        <w:right w:val="none" w:sz="0" w:space="0" w:color="auto"/>
      </w:divBdr>
    </w:div>
    <w:div w:id="612827295">
      <w:bodyDiv w:val="1"/>
      <w:marLeft w:val="0"/>
      <w:marRight w:val="0"/>
      <w:marTop w:val="0"/>
      <w:marBottom w:val="0"/>
      <w:divBdr>
        <w:top w:val="none" w:sz="0" w:space="0" w:color="auto"/>
        <w:left w:val="none" w:sz="0" w:space="0" w:color="auto"/>
        <w:bottom w:val="none" w:sz="0" w:space="0" w:color="auto"/>
        <w:right w:val="none" w:sz="0" w:space="0" w:color="auto"/>
      </w:divBdr>
    </w:div>
    <w:div w:id="622619257">
      <w:bodyDiv w:val="1"/>
      <w:marLeft w:val="0"/>
      <w:marRight w:val="0"/>
      <w:marTop w:val="0"/>
      <w:marBottom w:val="0"/>
      <w:divBdr>
        <w:top w:val="none" w:sz="0" w:space="0" w:color="auto"/>
        <w:left w:val="none" w:sz="0" w:space="0" w:color="auto"/>
        <w:bottom w:val="none" w:sz="0" w:space="0" w:color="auto"/>
        <w:right w:val="none" w:sz="0" w:space="0" w:color="auto"/>
      </w:divBdr>
    </w:div>
    <w:div w:id="739596248">
      <w:bodyDiv w:val="1"/>
      <w:marLeft w:val="0"/>
      <w:marRight w:val="0"/>
      <w:marTop w:val="0"/>
      <w:marBottom w:val="0"/>
      <w:divBdr>
        <w:top w:val="none" w:sz="0" w:space="0" w:color="auto"/>
        <w:left w:val="none" w:sz="0" w:space="0" w:color="auto"/>
        <w:bottom w:val="none" w:sz="0" w:space="0" w:color="auto"/>
        <w:right w:val="none" w:sz="0" w:space="0" w:color="auto"/>
      </w:divBdr>
    </w:div>
    <w:div w:id="810833371">
      <w:bodyDiv w:val="1"/>
      <w:marLeft w:val="0"/>
      <w:marRight w:val="0"/>
      <w:marTop w:val="0"/>
      <w:marBottom w:val="0"/>
      <w:divBdr>
        <w:top w:val="none" w:sz="0" w:space="0" w:color="auto"/>
        <w:left w:val="none" w:sz="0" w:space="0" w:color="auto"/>
        <w:bottom w:val="none" w:sz="0" w:space="0" w:color="auto"/>
        <w:right w:val="none" w:sz="0" w:space="0" w:color="auto"/>
      </w:divBdr>
    </w:div>
    <w:div w:id="884370769">
      <w:bodyDiv w:val="1"/>
      <w:marLeft w:val="0"/>
      <w:marRight w:val="0"/>
      <w:marTop w:val="0"/>
      <w:marBottom w:val="0"/>
      <w:divBdr>
        <w:top w:val="none" w:sz="0" w:space="0" w:color="auto"/>
        <w:left w:val="none" w:sz="0" w:space="0" w:color="auto"/>
        <w:bottom w:val="none" w:sz="0" w:space="0" w:color="auto"/>
        <w:right w:val="none" w:sz="0" w:space="0" w:color="auto"/>
      </w:divBdr>
    </w:div>
    <w:div w:id="907346998">
      <w:bodyDiv w:val="1"/>
      <w:marLeft w:val="0"/>
      <w:marRight w:val="0"/>
      <w:marTop w:val="0"/>
      <w:marBottom w:val="0"/>
      <w:divBdr>
        <w:top w:val="none" w:sz="0" w:space="0" w:color="auto"/>
        <w:left w:val="none" w:sz="0" w:space="0" w:color="auto"/>
        <w:bottom w:val="none" w:sz="0" w:space="0" w:color="auto"/>
        <w:right w:val="none" w:sz="0" w:space="0" w:color="auto"/>
      </w:divBdr>
    </w:div>
    <w:div w:id="912469211">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48643998">
      <w:bodyDiv w:val="1"/>
      <w:marLeft w:val="0"/>
      <w:marRight w:val="0"/>
      <w:marTop w:val="0"/>
      <w:marBottom w:val="0"/>
      <w:divBdr>
        <w:top w:val="none" w:sz="0" w:space="0" w:color="auto"/>
        <w:left w:val="none" w:sz="0" w:space="0" w:color="auto"/>
        <w:bottom w:val="none" w:sz="0" w:space="0" w:color="auto"/>
        <w:right w:val="none" w:sz="0" w:space="0" w:color="auto"/>
      </w:divBdr>
    </w:div>
    <w:div w:id="1062631966">
      <w:bodyDiv w:val="1"/>
      <w:marLeft w:val="0"/>
      <w:marRight w:val="0"/>
      <w:marTop w:val="0"/>
      <w:marBottom w:val="0"/>
      <w:divBdr>
        <w:top w:val="none" w:sz="0" w:space="0" w:color="auto"/>
        <w:left w:val="none" w:sz="0" w:space="0" w:color="auto"/>
        <w:bottom w:val="none" w:sz="0" w:space="0" w:color="auto"/>
        <w:right w:val="none" w:sz="0" w:space="0" w:color="auto"/>
      </w:divBdr>
    </w:div>
    <w:div w:id="1103380788">
      <w:bodyDiv w:val="1"/>
      <w:marLeft w:val="0"/>
      <w:marRight w:val="0"/>
      <w:marTop w:val="0"/>
      <w:marBottom w:val="0"/>
      <w:divBdr>
        <w:top w:val="none" w:sz="0" w:space="0" w:color="auto"/>
        <w:left w:val="none" w:sz="0" w:space="0" w:color="auto"/>
        <w:bottom w:val="none" w:sz="0" w:space="0" w:color="auto"/>
        <w:right w:val="none" w:sz="0" w:space="0" w:color="auto"/>
      </w:divBdr>
    </w:div>
    <w:div w:id="1229422037">
      <w:bodyDiv w:val="1"/>
      <w:marLeft w:val="0"/>
      <w:marRight w:val="0"/>
      <w:marTop w:val="0"/>
      <w:marBottom w:val="0"/>
      <w:divBdr>
        <w:top w:val="none" w:sz="0" w:space="0" w:color="auto"/>
        <w:left w:val="none" w:sz="0" w:space="0" w:color="auto"/>
        <w:bottom w:val="none" w:sz="0" w:space="0" w:color="auto"/>
        <w:right w:val="none" w:sz="0" w:space="0" w:color="auto"/>
      </w:divBdr>
    </w:div>
    <w:div w:id="1265725018">
      <w:bodyDiv w:val="1"/>
      <w:marLeft w:val="0"/>
      <w:marRight w:val="0"/>
      <w:marTop w:val="0"/>
      <w:marBottom w:val="0"/>
      <w:divBdr>
        <w:top w:val="none" w:sz="0" w:space="0" w:color="auto"/>
        <w:left w:val="none" w:sz="0" w:space="0" w:color="auto"/>
        <w:bottom w:val="none" w:sz="0" w:space="0" w:color="auto"/>
        <w:right w:val="none" w:sz="0" w:space="0" w:color="auto"/>
      </w:divBdr>
    </w:div>
    <w:div w:id="1283807786">
      <w:bodyDiv w:val="1"/>
      <w:marLeft w:val="0"/>
      <w:marRight w:val="0"/>
      <w:marTop w:val="0"/>
      <w:marBottom w:val="0"/>
      <w:divBdr>
        <w:top w:val="none" w:sz="0" w:space="0" w:color="auto"/>
        <w:left w:val="none" w:sz="0" w:space="0" w:color="auto"/>
        <w:bottom w:val="none" w:sz="0" w:space="0" w:color="auto"/>
        <w:right w:val="none" w:sz="0" w:space="0" w:color="auto"/>
      </w:divBdr>
    </w:div>
    <w:div w:id="1298682071">
      <w:bodyDiv w:val="1"/>
      <w:marLeft w:val="0"/>
      <w:marRight w:val="0"/>
      <w:marTop w:val="0"/>
      <w:marBottom w:val="0"/>
      <w:divBdr>
        <w:top w:val="none" w:sz="0" w:space="0" w:color="auto"/>
        <w:left w:val="none" w:sz="0" w:space="0" w:color="auto"/>
        <w:bottom w:val="none" w:sz="0" w:space="0" w:color="auto"/>
        <w:right w:val="none" w:sz="0" w:space="0" w:color="auto"/>
      </w:divBdr>
    </w:div>
    <w:div w:id="1377513268">
      <w:bodyDiv w:val="1"/>
      <w:marLeft w:val="0"/>
      <w:marRight w:val="0"/>
      <w:marTop w:val="0"/>
      <w:marBottom w:val="0"/>
      <w:divBdr>
        <w:top w:val="none" w:sz="0" w:space="0" w:color="auto"/>
        <w:left w:val="none" w:sz="0" w:space="0" w:color="auto"/>
        <w:bottom w:val="none" w:sz="0" w:space="0" w:color="auto"/>
        <w:right w:val="none" w:sz="0" w:space="0" w:color="auto"/>
      </w:divBdr>
    </w:div>
    <w:div w:id="1397784160">
      <w:bodyDiv w:val="1"/>
      <w:marLeft w:val="0"/>
      <w:marRight w:val="0"/>
      <w:marTop w:val="0"/>
      <w:marBottom w:val="0"/>
      <w:divBdr>
        <w:top w:val="none" w:sz="0" w:space="0" w:color="auto"/>
        <w:left w:val="none" w:sz="0" w:space="0" w:color="auto"/>
        <w:bottom w:val="none" w:sz="0" w:space="0" w:color="auto"/>
        <w:right w:val="none" w:sz="0" w:space="0" w:color="auto"/>
      </w:divBdr>
    </w:div>
    <w:div w:id="1502231707">
      <w:bodyDiv w:val="1"/>
      <w:marLeft w:val="0"/>
      <w:marRight w:val="0"/>
      <w:marTop w:val="0"/>
      <w:marBottom w:val="0"/>
      <w:divBdr>
        <w:top w:val="none" w:sz="0" w:space="0" w:color="auto"/>
        <w:left w:val="none" w:sz="0" w:space="0" w:color="auto"/>
        <w:bottom w:val="none" w:sz="0" w:space="0" w:color="auto"/>
        <w:right w:val="none" w:sz="0" w:space="0" w:color="auto"/>
      </w:divBdr>
    </w:div>
    <w:div w:id="1585341047">
      <w:bodyDiv w:val="1"/>
      <w:marLeft w:val="0"/>
      <w:marRight w:val="0"/>
      <w:marTop w:val="0"/>
      <w:marBottom w:val="0"/>
      <w:divBdr>
        <w:top w:val="none" w:sz="0" w:space="0" w:color="auto"/>
        <w:left w:val="none" w:sz="0" w:space="0" w:color="auto"/>
        <w:bottom w:val="none" w:sz="0" w:space="0" w:color="auto"/>
        <w:right w:val="none" w:sz="0" w:space="0" w:color="auto"/>
      </w:divBdr>
    </w:div>
    <w:div w:id="1790392335">
      <w:bodyDiv w:val="1"/>
      <w:marLeft w:val="0"/>
      <w:marRight w:val="0"/>
      <w:marTop w:val="0"/>
      <w:marBottom w:val="0"/>
      <w:divBdr>
        <w:top w:val="none" w:sz="0" w:space="0" w:color="auto"/>
        <w:left w:val="none" w:sz="0" w:space="0" w:color="auto"/>
        <w:bottom w:val="none" w:sz="0" w:space="0" w:color="auto"/>
        <w:right w:val="none" w:sz="0" w:space="0" w:color="auto"/>
      </w:divBdr>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60451627">
      <w:bodyDiv w:val="1"/>
      <w:marLeft w:val="0"/>
      <w:marRight w:val="0"/>
      <w:marTop w:val="0"/>
      <w:marBottom w:val="0"/>
      <w:divBdr>
        <w:top w:val="none" w:sz="0" w:space="0" w:color="auto"/>
        <w:left w:val="none" w:sz="0" w:space="0" w:color="auto"/>
        <w:bottom w:val="none" w:sz="0" w:space="0" w:color="auto"/>
        <w:right w:val="none" w:sz="0" w:space="0" w:color="auto"/>
      </w:divBdr>
    </w:div>
    <w:div w:id="1982416438">
      <w:bodyDiv w:val="1"/>
      <w:marLeft w:val="0"/>
      <w:marRight w:val="0"/>
      <w:marTop w:val="0"/>
      <w:marBottom w:val="0"/>
      <w:divBdr>
        <w:top w:val="none" w:sz="0" w:space="0" w:color="auto"/>
        <w:left w:val="none" w:sz="0" w:space="0" w:color="auto"/>
        <w:bottom w:val="none" w:sz="0" w:space="0" w:color="auto"/>
        <w:right w:val="none" w:sz="0" w:space="0" w:color="auto"/>
      </w:divBdr>
    </w:div>
    <w:div w:id="1986205639">
      <w:bodyDiv w:val="1"/>
      <w:marLeft w:val="0"/>
      <w:marRight w:val="0"/>
      <w:marTop w:val="0"/>
      <w:marBottom w:val="0"/>
      <w:divBdr>
        <w:top w:val="none" w:sz="0" w:space="0" w:color="auto"/>
        <w:left w:val="none" w:sz="0" w:space="0" w:color="auto"/>
        <w:bottom w:val="none" w:sz="0" w:space="0" w:color="auto"/>
        <w:right w:val="none" w:sz="0" w:space="0" w:color="auto"/>
      </w:divBdr>
    </w:div>
    <w:div w:id="20592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larkin\Documents\Mike\Cobia\North_SA_Cob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26640419947524"/>
          <c:y val="5.1400554097404488E-2"/>
          <c:w val="0.8323162729658794"/>
          <c:h val="0.76929013460473461"/>
        </c:manualLayout>
      </c:layout>
      <c:lineChart>
        <c:grouping val="standard"/>
        <c:ser>
          <c:idx val="3"/>
          <c:order val="0"/>
          <c:tx>
            <c:v>2013</c:v>
          </c:tx>
          <c:marker>
            <c:symbol val="none"/>
          </c:marker>
          <c:cat>
            <c:strRef>
              <c:f>Projection!$Q$14:$U$14</c:f>
              <c:strCache>
                <c:ptCount val="5"/>
                <c:pt idx="0">
                  <c:v>Jan/Feb</c:v>
                </c:pt>
                <c:pt idx="1">
                  <c:v>Mar/Apr</c:v>
                </c:pt>
                <c:pt idx="2">
                  <c:v>May/Jun</c:v>
                </c:pt>
                <c:pt idx="3">
                  <c:v>Jul/Aug</c:v>
                </c:pt>
                <c:pt idx="4">
                  <c:v>Sep/Oct</c:v>
                </c:pt>
              </c:strCache>
            </c:strRef>
          </c:cat>
          <c:val>
            <c:numRef>
              <c:f>Projection!$Q$18:$U$18</c:f>
              <c:numCache>
                <c:formatCode>#,##0</c:formatCode>
                <c:ptCount val="5"/>
                <c:pt idx="0">
                  <c:v>0</c:v>
                </c:pt>
                <c:pt idx="1">
                  <c:v>427.00897399999985</c:v>
                </c:pt>
                <c:pt idx="2">
                  <c:v>532636.21034716966</c:v>
                </c:pt>
                <c:pt idx="3">
                  <c:v>330702.52111559996</c:v>
                </c:pt>
                <c:pt idx="4">
                  <c:v>32020.762395500013</c:v>
                </c:pt>
              </c:numCache>
            </c:numRef>
          </c:val>
        </c:ser>
        <c:ser>
          <c:idx val="0"/>
          <c:order val="1"/>
          <c:tx>
            <c:v>2014</c:v>
          </c:tx>
          <c:marker>
            <c:symbol val="none"/>
          </c:marker>
          <c:cat>
            <c:strRef>
              <c:f>Projection!$Q$14:$U$14</c:f>
              <c:strCache>
                <c:ptCount val="5"/>
                <c:pt idx="0">
                  <c:v>Jan/Feb</c:v>
                </c:pt>
                <c:pt idx="1">
                  <c:v>Mar/Apr</c:v>
                </c:pt>
                <c:pt idx="2">
                  <c:v>May/Jun</c:v>
                </c:pt>
                <c:pt idx="3">
                  <c:v>Jul/Aug</c:v>
                </c:pt>
                <c:pt idx="4">
                  <c:v>Sep/Oct</c:v>
                </c:pt>
              </c:strCache>
            </c:strRef>
          </c:cat>
          <c:val>
            <c:numRef>
              <c:f>Projection!$Q$15:$U$15</c:f>
              <c:numCache>
                <c:formatCode>#,##0</c:formatCode>
                <c:ptCount val="5"/>
                <c:pt idx="0">
                  <c:v>0</c:v>
                </c:pt>
                <c:pt idx="1">
                  <c:v>623.80700219999949</c:v>
                </c:pt>
                <c:pt idx="2">
                  <c:v>384974.58057333023</c:v>
                </c:pt>
                <c:pt idx="3">
                  <c:v>157882.35418879989</c:v>
                </c:pt>
                <c:pt idx="4">
                  <c:v>1004.44872533</c:v>
                </c:pt>
              </c:numCache>
            </c:numRef>
          </c:val>
        </c:ser>
        <c:ser>
          <c:idx val="1"/>
          <c:order val="2"/>
          <c:tx>
            <c:v>2015</c:v>
          </c:tx>
          <c:spPr>
            <a:ln>
              <a:solidFill>
                <a:schemeClr val="tx1"/>
              </a:solidFill>
            </a:ln>
          </c:spPr>
          <c:marker>
            <c:symbol val="none"/>
          </c:marker>
          <c:cat>
            <c:strRef>
              <c:f>Projection!$Q$14:$U$14</c:f>
              <c:strCache>
                <c:ptCount val="5"/>
                <c:pt idx="0">
                  <c:v>Jan/Feb</c:v>
                </c:pt>
                <c:pt idx="1">
                  <c:v>Mar/Apr</c:v>
                </c:pt>
                <c:pt idx="2">
                  <c:v>May/Jun</c:v>
                </c:pt>
                <c:pt idx="3">
                  <c:v>Jul/Aug</c:v>
                </c:pt>
                <c:pt idx="4">
                  <c:v>Sep/Oct</c:v>
                </c:pt>
              </c:strCache>
            </c:strRef>
          </c:cat>
          <c:val>
            <c:numRef>
              <c:f>Projection!$Q$16:$U$16</c:f>
              <c:numCache>
                <c:formatCode>#,##0</c:formatCode>
                <c:ptCount val="5"/>
                <c:pt idx="0">
                  <c:v>0</c:v>
                </c:pt>
                <c:pt idx="1">
                  <c:v>43764.031699999992</c:v>
                </c:pt>
                <c:pt idx="2">
                  <c:v>914851.5971332998</c:v>
                </c:pt>
                <c:pt idx="3">
                  <c:v>561514.1825543798</c:v>
                </c:pt>
                <c:pt idx="4">
                  <c:v>16601</c:v>
                </c:pt>
              </c:numCache>
            </c:numRef>
          </c:val>
        </c:ser>
        <c:ser>
          <c:idx val="4"/>
          <c:order val="3"/>
          <c:tx>
            <c:v>Average 2013-2015</c:v>
          </c:tx>
          <c:spPr>
            <a:ln>
              <a:solidFill>
                <a:srgbClr val="FFC000"/>
              </a:solidFill>
              <a:prstDash val="dash"/>
            </a:ln>
          </c:spPr>
          <c:marker>
            <c:symbol val="none"/>
          </c:marker>
          <c:cat>
            <c:strRef>
              <c:f>Projection!$Q$14:$U$14</c:f>
              <c:strCache>
                <c:ptCount val="5"/>
                <c:pt idx="0">
                  <c:v>Jan/Feb</c:v>
                </c:pt>
                <c:pt idx="1">
                  <c:v>Mar/Apr</c:v>
                </c:pt>
                <c:pt idx="2">
                  <c:v>May/Jun</c:v>
                </c:pt>
                <c:pt idx="3">
                  <c:v>Jul/Aug</c:v>
                </c:pt>
                <c:pt idx="4">
                  <c:v>Sep/Oct</c:v>
                </c:pt>
              </c:strCache>
            </c:strRef>
          </c:cat>
          <c:val>
            <c:numRef>
              <c:f>Projection!$Q$19:$U$19</c:f>
              <c:numCache>
                <c:formatCode>#,##0</c:formatCode>
                <c:ptCount val="5"/>
                <c:pt idx="0">
                  <c:v>0</c:v>
                </c:pt>
                <c:pt idx="1">
                  <c:v>14938.282558733337</c:v>
                </c:pt>
                <c:pt idx="2">
                  <c:v>610820.7960179334</c:v>
                </c:pt>
                <c:pt idx="3">
                  <c:v>350033.01928626013</c:v>
                </c:pt>
                <c:pt idx="4">
                  <c:v>16542.07037361</c:v>
                </c:pt>
              </c:numCache>
            </c:numRef>
          </c:val>
        </c:ser>
        <c:ser>
          <c:idx val="2"/>
          <c:order val="4"/>
          <c:tx>
            <c:v>Average 2014-2015</c:v>
          </c:tx>
          <c:spPr>
            <a:ln>
              <a:prstDash val="dash"/>
            </a:ln>
          </c:spPr>
          <c:marker>
            <c:symbol val="none"/>
          </c:marker>
          <c:cat>
            <c:strRef>
              <c:f>Projection!$Q$14:$U$14</c:f>
              <c:strCache>
                <c:ptCount val="5"/>
                <c:pt idx="0">
                  <c:v>Jan/Feb</c:v>
                </c:pt>
                <c:pt idx="1">
                  <c:v>Mar/Apr</c:v>
                </c:pt>
                <c:pt idx="2">
                  <c:v>May/Jun</c:v>
                </c:pt>
                <c:pt idx="3">
                  <c:v>Jul/Aug</c:v>
                </c:pt>
                <c:pt idx="4">
                  <c:v>Sep/Oct</c:v>
                </c:pt>
              </c:strCache>
            </c:strRef>
          </c:cat>
          <c:val>
            <c:numRef>
              <c:f>Projection!$Q$17:$U$17</c:f>
              <c:numCache>
                <c:formatCode>#,##0</c:formatCode>
                <c:ptCount val="5"/>
                <c:pt idx="0">
                  <c:v>0</c:v>
                </c:pt>
                <c:pt idx="1">
                  <c:v>22193.919351099994</c:v>
                </c:pt>
                <c:pt idx="2">
                  <c:v>649913.08885331533</c:v>
                </c:pt>
                <c:pt idx="3">
                  <c:v>359698.26837159001</c:v>
                </c:pt>
                <c:pt idx="4">
                  <c:v>8802.7243626649997</c:v>
                </c:pt>
              </c:numCache>
            </c:numRef>
          </c:val>
        </c:ser>
        <c:marker val="1"/>
        <c:axId val="136890624"/>
        <c:axId val="136999296"/>
      </c:lineChart>
      <c:catAx>
        <c:axId val="136890624"/>
        <c:scaling>
          <c:orientation val="minMax"/>
        </c:scaling>
        <c:axPos val="b"/>
        <c:title>
          <c:tx>
            <c:rich>
              <a:bodyPr/>
              <a:lstStyle/>
              <a:p>
                <a:pPr>
                  <a:defRPr/>
                </a:pPr>
                <a:r>
                  <a:rPr lang="en-US"/>
                  <a:t>Wave</a:t>
                </a:r>
              </a:p>
            </c:rich>
          </c:tx>
        </c:title>
        <c:numFmt formatCode="General" sourceLinked="1"/>
        <c:majorTickMark val="none"/>
        <c:minorTickMark val="cross"/>
        <c:tickLblPos val="nextTo"/>
        <c:spPr>
          <a:ln w="19050">
            <a:solidFill>
              <a:schemeClr val="tx1"/>
            </a:solidFill>
          </a:ln>
        </c:spPr>
        <c:crossAx val="136999296"/>
        <c:crosses val="autoZero"/>
        <c:auto val="1"/>
        <c:lblAlgn val="ctr"/>
        <c:lblOffset val="100"/>
      </c:catAx>
      <c:valAx>
        <c:axId val="136999296"/>
        <c:scaling>
          <c:orientation val="minMax"/>
        </c:scaling>
        <c:axPos val="l"/>
        <c:title>
          <c:tx>
            <c:rich>
              <a:bodyPr rot="-5400000" vert="horz"/>
              <a:lstStyle/>
              <a:p>
                <a:pPr>
                  <a:defRPr/>
                </a:pPr>
                <a:r>
                  <a:rPr lang="en-US"/>
                  <a:t>Landings (lbs</a:t>
                </a:r>
                <a:r>
                  <a:rPr lang="en-US" baseline="0"/>
                  <a:t> ww</a:t>
                </a:r>
                <a:r>
                  <a:rPr lang="en-US"/>
                  <a:t>)</a:t>
                </a:r>
              </a:p>
            </c:rich>
          </c:tx>
        </c:title>
        <c:numFmt formatCode="#,##0" sourceLinked="1"/>
        <c:majorTickMark val="cross"/>
        <c:minorTickMark val="out"/>
        <c:tickLblPos val="nextTo"/>
        <c:spPr>
          <a:ln w="19050">
            <a:solidFill>
              <a:schemeClr val="tx1"/>
            </a:solidFill>
          </a:ln>
        </c:spPr>
        <c:crossAx val="136890624"/>
        <c:crosses val="autoZero"/>
        <c:crossBetween val="between"/>
      </c:valAx>
    </c:plotArea>
    <c:legend>
      <c:legendPos val="r"/>
      <c:layout>
        <c:manualLayout>
          <c:xMode val="edge"/>
          <c:yMode val="edge"/>
          <c:x val="0.18045692983722603"/>
          <c:y val="6.6276048003270277E-2"/>
          <c:w val="0.31295307056998711"/>
          <c:h val="0.39466597886636245"/>
        </c:manualLayout>
      </c:layout>
    </c:legend>
    <c:plotVisOnly val="1"/>
    <c:dispBlanksAs val="gap"/>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2909-AB77-4874-96CC-BCBA69CD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SAFMC Present</cp:lastModifiedBy>
  <cp:revision>3</cp:revision>
  <cp:lastPrinted>2016-02-17T14:56:00Z</cp:lastPrinted>
  <dcterms:created xsi:type="dcterms:W3CDTF">2016-12-08T14:27:00Z</dcterms:created>
  <dcterms:modified xsi:type="dcterms:W3CDTF">2016-12-08T18:37:00Z</dcterms:modified>
</cp:coreProperties>
</file>