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B4E" w:rsidRDefault="00102B4E" w:rsidP="000C52A6">
      <w:pPr>
        <w:spacing w:line="276" w:lineRule="auto"/>
      </w:pPr>
    </w:p>
    <w:p w:rsidR="00663B31" w:rsidRDefault="00663B31" w:rsidP="000C52A6">
      <w:pPr>
        <w:spacing w:line="276" w:lineRule="auto"/>
        <w:jc w:val="center"/>
        <w:rPr>
          <w:rFonts w:cs="Times New Roman"/>
          <w:b/>
          <w:sz w:val="36"/>
          <w:szCs w:val="36"/>
        </w:rPr>
      </w:pPr>
    </w:p>
    <w:p w:rsidR="00663B31" w:rsidRDefault="000242E5" w:rsidP="000C52A6">
      <w:pPr>
        <w:spacing w:line="276" w:lineRule="auto"/>
        <w:jc w:val="center"/>
        <w:rPr>
          <w:rFonts w:cs="Times New Roman"/>
          <w:b/>
          <w:sz w:val="36"/>
          <w:szCs w:val="36"/>
        </w:rPr>
      </w:pPr>
      <w:r w:rsidRPr="000242E5">
        <w:rPr>
          <w:noProof/>
        </w:rPr>
        <w:pict>
          <v:roundrect id="Rounded Rectangle 26" o:spid="_x0000_s1026" style="position:absolute;left:0;text-align:left;margin-left:18pt;margin-top:5.4pt;width:423pt;height:364.8pt;z-index:-251658752;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" filled="f" strokecolor="#4579b8 [3044]">
            <v:shadow on="t" opacity="22936f" origin=",.5" offset="0,.63889mm"/>
          </v:roundrect>
        </w:pict>
      </w:r>
    </w:p>
    <w:p w:rsidR="00663B31" w:rsidRDefault="00663B31" w:rsidP="000C52A6">
      <w:pPr>
        <w:spacing w:line="276" w:lineRule="auto"/>
        <w:rPr>
          <w:rFonts w:cs="Times New Roman"/>
          <w:b/>
          <w:sz w:val="36"/>
          <w:szCs w:val="36"/>
        </w:rPr>
      </w:pPr>
    </w:p>
    <w:p w:rsidR="00C530FE" w:rsidRPr="00072EC7" w:rsidRDefault="00072EC7" w:rsidP="00072EC7">
      <w:pPr>
        <w:pStyle w:val="BodyText"/>
        <w:spacing w:line="276" w:lineRule="auto"/>
        <w:jc w:val="center"/>
        <w:rPr>
          <w:rFonts w:ascii="Comic Sans MS" w:hAnsi="Comic Sans MS"/>
          <w:sz w:val="36"/>
          <w:szCs w:val="36"/>
        </w:rPr>
      </w:pPr>
      <w:r>
        <w:rPr>
          <w:noProof/>
        </w:rPr>
        <w:drawing>
          <wp:inline distT="0" distB="0" distL="0" distR="0">
            <wp:extent cx="3004185" cy="1465163"/>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09433" cy="1467723"/>
                    </a:xfrm>
                    <a:prstGeom prst="rect">
                      <a:avLst/>
                    </a:prstGeom>
                    <a:noFill/>
                    <a:ln w="6350" cmpd="sng">
                      <a:noFill/>
                      <a:miter lim="800000"/>
                      <a:headEnd/>
                      <a:tailEnd/>
                    </a:ln>
                    <a:effectLst/>
                  </pic:spPr>
                </pic:pic>
              </a:graphicData>
            </a:graphic>
          </wp:inline>
        </w:drawing>
      </w:r>
    </w:p>
    <w:p w:rsidR="00102B4E" w:rsidRPr="0095292B" w:rsidRDefault="007A7048" w:rsidP="000C52A6">
      <w:pPr>
        <w:spacing w:line="276" w:lineRule="auto"/>
        <w:jc w:val="center"/>
        <w:rPr>
          <w:b/>
          <w:color w:val="548DD4" w:themeColor="text2" w:themeTint="99"/>
          <w:sz w:val="40"/>
          <w:szCs w:val="40"/>
        </w:rPr>
      </w:pPr>
      <w:r w:rsidRPr="0095292B">
        <w:rPr>
          <w:b/>
          <w:color w:val="548DD4" w:themeColor="text2" w:themeTint="99"/>
          <w:sz w:val="40"/>
          <w:szCs w:val="40"/>
        </w:rPr>
        <w:t xml:space="preserve">Regulatory </w:t>
      </w:r>
      <w:r w:rsidR="00026847" w:rsidRPr="0095292B">
        <w:rPr>
          <w:b/>
          <w:color w:val="548DD4" w:themeColor="text2" w:themeTint="99"/>
          <w:sz w:val="40"/>
          <w:szCs w:val="40"/>
        </w:rPr>
        <w:t>Amendment</w:t>
      </w:r>
      <w:r w:rsidRPr="0095292B">
        <w:rPr>
          <w:b/>
          <w:color w:val="548DD4" w:themeColor="text2" w:themeTint="99"/>
          <w:sz w:val="40"/>
          <w:szCs w:val="40"/>
        </w:rPr>
        <w:t xml:space="preserve"> 16</w:t>
      </w:r>
    </w:p>
    <w:p w:rsidR="00026847" w:rsidRPr="0095292B" w:rsidRDefault="00026847" w:rsidP="000C52A6">
      <w:pPr>
        <w:spacing w:line="276" w:lineRule="auto"/>
        <w:jc w:val="center"/>
        <w:rPr>
          <w:b/>
          <w:color w:val="548DD4" w:themeColor="text2" w:themeTint="99"/>
          <w:sz w:val="40"/>
          <w:szCs w:val="40"/>
        </w:rPr>
      </w:pPr>
      <w:proofErr w:type="gramStart"/>
      <w:r w:rsidRPr="0095292B">
        <w:rPr>
          <w:b/>
          <w:color w:val="548DD4" w:themeColor="text2" w:themeTint="99"/>
          <w:sz w:val="40"/>
          <w:szCs w:val="40"/>
        </w:rPr>
        <w:t>to</w:t>
      </w:r>
      <w:proofErr w:type="gramEnd"/>
      <w:r w:rsidRPr="0095292B">
        <w:rPr>
          <w:b/>
          <w:color w:val="548DD4" w:themeColor="text2" w:themeTint="99"/>
          <w:sz w:val="40"/>
          <w:szCs w:val="40"/>
        </w:rPr>
        <w:t xml:space="preserve"> the Fishery Management Plan</w:t>
      </w:r>
    </w:p>
    <w:p w:rsidR="001F30F5" w:rsidRDefault="00026847" w:rsidP="000C52A6">
      <w:pPr>
        <w:spacing w:line="276" w:lineRule="auto"/>
        <w:jc w:val="center"/>
        <w:rPr>
          <w:b/>
          <w:color w:val="548DD4" w:themeColor="text2" w:themeTint="99"/>
          <w:sz w:val="40"/>
          <w:szCs w:val="40"/>
        </w:rPr>
      </w:pPr>
      <w:proofErr w:type="gramStart"/>
      <w:r w:rsidRPr="0095292B">
        <w:rPr>
          <w:b/>
          <w:color w:val="548DD4" w:themeColor="text2" w:themeTint="99"/>
          <w:sz w:val="40"/>
          <w:szCs w:val="40"/>
        </w:rPr>
        <w:t>for</w:t>
      </w:r>
      <w:proofErr w:type="gramEnd"/>
      <w:r w:rsidRPr="0095292B">
        <w:rPr>
          <w:b/>
          <w:color w:val="548DD4" w:themeColor="text2" w:themeTint="99"/>
          <w:sz w:val="40"/>
          <w:szCs w:val="40"/>
        </w:rPr>
        <w:t xml:space="preserve"> the </w:t>
      </w:r>
      <w:r w:rsidR="00BB6C03" w:rsidRPr="0095292B">
        <w:rPr>
          <w:b/>
          <w:color w:val="548DD4" w:themeColor="text2" w:themeTint="99"/>
          <w:sz w:val="40"/>
          <w:szCs w:val="40"/>
        </w:rPr>
        <w:t xml:space="preserve">Snapper Grouper Fishery </w:t>
      </w:r>
    </w:p>
    <w:p w:rsidR="00026847" w:rsidRDefault="00BB6C03" w:rsidP="000C52A6">
      <w:pPr>
        <w:spacing w:line="276" w:lineRule="auto"/>
        <w:jc w:val="center"/>
        <w:rPr>
          <w:b/>
          <w:color w:val="548DD4" w:themeColor="text2" w:themeTint="99"/>
          <w:sz w:val="40"/>
          <w:szCs w:val="40"/>
        </w:rPr>
      </w:pPr>
      <w:proofErr w:type="gramStart"/>
      <w:r w:rsidRPr="0095292B">
        <w:rPr>
          <w:b/>
          <w:color w:val="548DD4" w:themeColor="text2" w:themeTint="99"/>
          <w:sz w:val="40"/>
          <w:szCs w:val="40"/>
        </w:rPr>
        <w:t>of</w:t>
      </w:r>
      <w:proofErr w:type="gramEnd"/>
      <w:r w:rsidRPr="0095292B">
        <w:rPr>
          <w:b/>
          <w:color w:val="548DD4" w:themeColor="text2" w:themeTint="99"/>
          <w:sz w:val="40"/>
          <w:szCs w:val="40"/>
        </w:rPr>
        <w:t xml:space="preserve"> the </w:t>
      </w:r>
      <w:r w:rsidR="00026847" w:rsidRPr="0095292B">
        <w:rPr>
          <w:b/>
          <w:color w:val="548DD4" w:themeColor="text2" w:themeTint="99"/>
          <w:sz w:val="40"/>
          <w:szCs w:val="40"/>
        </w:rPr>
        <w:t>South Atlantic Region</w:t>
      </w:r>
    </w:p>
    <w:p w:rsidR="0095292B" w:rsidRDefault="0095292B" w:rsidP="000C52A6">
      <w:pPr>
        <w:spacing w:line="276" w:lineRule="auto"/>
        <w:jc w:val="center"/>
        <w:rPr>
          <w:b/>
          <w:color w:val="548DD4" w:themeColor="text2" w:themeTint="99"/>
          <w:sz w:val="40"/>
          <w:szCs w:val="40"/>
        </w:rPr>
      </w:pPr>
    </w:p>
    <w:p w:rsidR="0095292B" w:rsidRDefault="002834DF" w:rsidP="000C52A6">
      <w:pPr>
        <w:spacing w:line="276" w:lineRule="auto"/>
        <w:jc w:val="center"/>
        <w:rPr>
          <w:b/>
          <w:color w:val="548DD4" w:themeColor="text2" w:themeTint="99"/>
          <w:sz w:val="40"/>
          <w:szCs w:val="40"/>
        </w:rPr>
      </w:pPr>
      <w:r>
        <w:rPr>
          <w:b/>
          <w:color w:val="548DD4" w:themeColor="text2" w:themeTint="99"/>
          <w:sz w:val="40"/>
          <w:szCs w:val="40"/>
        </w:rPr>
        <w:t>DECISON</w:t>
      </w:r>
      <w:r w:rsidR="0095292B">
        <w:rPr>
          <w:b/>
          <w:color w:val="548DD4" w:themeColor="text2" w:themeTint="99"/>
          <w:sz w:val="40"/>
          <w:szCs w:val="40"/>
        </w:rPr>
        <w:t xml:space="preserve"> DOCUMENT</w:t>
      </w:r>
    </w:p>
    <w:p w:rsidR="001F30F5" w:rsidRDefault="001F30F5" w:rsidP="000C52A6">
      <w:pPr>
        <w:spacing w:line="276" w:lineRule="auto"/>
        <w:jc w:val="center"/>
        <w:rPr>
          <w:b/>
          <w:color w:val="548DD4" w:themeColor="text2" w:themeTint="99"/>
          <w:sz w:val="40"/>
          <w:szCs w:val="40"/>
        </w:rPr>
      </w:pPr>
    </w:p>
    <w:p w:rsidR="002A2D23" w:rsidRDefault="002A2D23" w:rsidP="002A2D23">
      <w:pPr>
        <w:spacing w:line="276" w:lineRule="auto"/>
        <w:jc w:val="center"/>
        <w:rPr>
          <w:b/>
        </w:rPr>
      </w:pPr>
    </w:p>
    <w:p w:rsidR="00102B4E" w:rsidRPr="00206A6D" w:rsidRDefault="00102B4E" w:rsidP="000C52A6">
      <w:pPr>
        <w:spacing w:line="276" w:lineRule="auto"/>
        <w:rPr>
          <w:b/>
          <w:sz w:val="20"/>
          <w:szCs w:val="20"/>
        </w:rPr>
      </w:pPr>
    </w:p>
    <w:p w:rsidR="0095292B" w:rsidRDefault="0095292B" w:rsidP="000C52A6">
      <w:pPr>
        <w:spacing w:line="276" w:lineRule="auto"/>
        <w:jc w:val="center"/>
      </w:pPr>
    </w:p>
    <w:p w:rsidR="0095292B" w:rsidRDefault="0095292B" w:rsidP="000C52A6">
      <w:pPr>
        <w:spacing w:line="276" w:lineRule="auto"/>
        <w:jc w:val="center"/>
      </w:pPr>
    </w:p>
    <w:p w:rsidR="0095292B" w:rsidRDefault="0095292B" w:rsidP="0095292B">
      <w:pPr>
        <w:ind w:left="1440"/>
        <w:jc w:val="center"/>
      </w:pPr>
    </w:p>
    <w:p w:rsidR="0095292B" w:rsidRDefault="0095292B" w:rsidP="0095292B">
      <w:pPr>
        <w:ind w:left="1440"/>
        <w:jc w:val="center"/>
      </w:pPr>
    </w:p>
    <w:p w:rsidR="0095292B" w:rsidRDefault="0095292B" w:rsidP="0095292B">
      <w:pPr>
        <w:ind w:left="1440"/>
        <w:jc w:val="center"/>
      </w:pPr>
    </w:p>
    <w:p w:rsidR="0095292B" w:rsidRDefault="0095292B" w:rsidP="0095292B">
      <w:pPr>
        <w:ind w:left="1440"/>
        <w:jc w:val="center"/>
      </w:pPr>
    </w:p>
    <w:p w:rsidR="00A93822" w:rsidRPr="0095292B" w:rsidRDefault="00764BD6" w:rsidP="0095292B">
      <w:pPr>
        <w:jc w:val="center"/>
        <w:rPr>
          <w:b/>
          <w:sz w:val="32"/>
          <w:szCs w:val="32"/>
        </w:rPr>
      </w:pPr>
      <w:r>
        <w:rPr>
          <w:b/>
          <w:sz w:val="32"/>
          <w:szCs w:val="32"/>
        </w:rPr>
        <w:t>DEC</w:t>
      </w:r>
      <w:r w:rsidR="002834DF">
        <w:rPr>
          <w:b/>
          <w:sz w:val="32"/>
          <w:szCs w:val="32"/>
        </w:rPr>
        <w:t>EMBER</w:t>
      </w:r>
      <w:r w:rsidR="008903CD">
        <w:rPr>
          <w:b/>
          <w:sz w:val="32"/>
          <w:szCs w:val="32"/>
        </w:rPr>
        <w:t xml:space="preserve"> 2015</w:t>
      </w:r>
    </w:p>
    <w:p w:rsidR="008C0447" w:rsidRPr="000C52A6" w:rsidRDefault="008C0447" w:rsidP="000C52A6">
      <w:pPr>
        <w:tabs>
          <w:tab w:val="left" w:pos="7380"/>
        </w:tabs>
        <w:spacing w:line="276" w:lineRule="auto"/>
        <w:jc w:val="center"/>
      </w:pPr>
    </w:p>
    <w:p w:rsidR="00714AAA" w:rsidRDefault="00714AAA" w:rsidP="00BA61B7">
      <w:pPr>
        <w:spacing w:line="276" w:lineRule="auto"/>
        <w:rPr>
          <w:sz w:val="18"/>
          <w:szCs w:val="18"/>
        </w:rPr>
      </w:pPr>
    </w:p>
    <w:p w:rsidR="0095292B" w:rsidRDefault="0095292B">
      <w:pPr>
        <w:rPr>
          <w:color w:val="000000"/>
          <w:szCs w:val="24"/>
        </w:rPr>
      </w:pPr>
      <w:r>
        <w:rPr>
          <w:color w:val="000000"/>
          <w:szCs w:val="24"/>
        </w:rPr>
        <w:br w:type="page"/>
      </w:r>
    </w:p>
    <w:p w:rsidR="00135EA7" w:rsidRPr="00135EA7" w:rsidRDefault="00135EA7" w:rsidP="00135EA7">
      <w:pPr>
        <w:rPr>
          <w:b/>
          <w:sz w:val="36"/>
          <w:szCs w:val="36"/>
        </w:rPr>
      </w:pPr>
      <w:r w:rsidRPr="00135EA7">
        <w:rPr>
          <w:b/>
          <w:sz w:val="36"/>
          <w:szCs w:val="36"/>
        </w:rPr>
        <w:lastRenderedPageBreak/>
        <w:t>Background</w:t>
      </w:r>
    </w:p>
    <w:p w:rsidR="00135EA7" w:rsidRDefault="00135EA7" w:rsidP="0031378A">
      <w:pPr>
        <w:spacing w:line="276" w:lineRule="auto"/>
      </w:pPr>
    </w:p>
    <w:p w:rsidR="00506523" w:rsidRDefault="00506523" w:rsidP="00891F13">
      <w:pPr>
        <w:rPr>
          <w:color w:val="222222"/>
          <w:shd w:val="clear" w:color="auto" w:fill="FFFFFF"/>
        </w:rPr>
      </w:pPr>
      <w:r>
        <w:t>In 2013, a stock assessment concluded that the black sea bass stock in the South Atlantic is not undergoing overfishing, is not overfished, and is rebuilt.  In response to the stock assessment,</w:t>
      </w:r>
      <w:r w:rsidRPr="00855015">
        <w:t xml:space="preserve"> the </w:t>
      </w:r>
      <w:r w:rsidR="00BD1A1E">
        <w:t xml:space="preserve">South Atlantic Fishery Management </w:t>
      </w:r>
      <w:r>
        <w:t>Council’s</w:t>
      </w:r>
      <w:r w:rsidR="00BD1A1E">
        <w:t xml:space="preserve"> (Council)</w:t>
      </w:r>
      <w:r>
        <w:t xml:space="preserve"> Scientific and Statistical Committee (</w:t>
      </w:r>
      <w:r w:rsidRPr="00855015">
        <w:t>SSC</w:t>
      </w:r>
      <w:r>
        <w:t>), at their April 2013 meeting,</w:t>
      </w:r>
      <w:r w:rsidRPr="00855015">
        <w:t xml:space="preserve"> recommended </w:t>
      </w:r>
      <w:r>
        <w:t>an increase to the</w:t>
      </w:r>
      <w:r w:rsidRPr="00855015">
        <w:t xml:space="preserve"> </w:t>
      </w:r>
      <w:r>
        <w:t>acceptable biological catch (</w:t>
      </w:r>
      <w:r w:rsidRPr="00855015">
        <w:t>ABC</w:t>
      </w:r>
      <w:r>
        <w:t>)</w:t>
      </w:r>
      <w:r w:rsidRPr="00855015">
        <w:t xml:space="preserve"> for black sea bass</w:t>
      </w:r>
      <w:r>
        <w:t>.  The increase in the ABC allowed</w:t>
      </w:r>
      <w:r w:rsidRPr="00855015">
        <w:t xml:space="preserve"> the commercial and recreational </w:t>
      </w:r>
      <w:r>
        <w:t>annual catch limits (ACL) to increase</w:t>
      </w:r>
      <w:r w:rsidRPr="00855015">
        <w:t xml:space="preserve">.  </w:t>
      </w:r>
      <w:r w:rsidRPr="00855015">
        <w:rPr>
          <w:color w:val="222222"/>
          <w:shd w:val="clear" w:color="auto" w:fill="FFFFFF"/>
        </w:rPr>
        <w:t>The Council and NMFS, through Regulatory Amendment 19</w:t>
      </w:r>
      <w:r>
        <w:rPr>
          <w:color w:val="222222"/>
          <w:shd w:val="clear" w:color="auto" w:fill="FFFFFF"/>
        </w:rPr>
        <w:t xml:space="preserve"> to the Fishery Management Plan (FMP) for the Snapper Grouper Fishery of the South Atlantic Region (Snapper Grouper FMP) (SAFMC 2013)</w:t>
      </w:r>
      <w:r w:rsidRPr="00855015">
        <w:rPr>
          <w:color w:val="222222"/>
          <w:shd w:val="clear" w:color="auto" w:fill="FFFFFF"/>
        </w:rPr>
        <w:t xml:space="preserve">, modified the ABC, ACLs, recreational </w:t>
      </w:r>
      <w:r>
        <w:rPr>
          <w:color w:val="222222"/>
          <w:shd w:val="clear" w:color="auto" w:fill="FFFFFF"/>
        </w:rPr>
        <w:t>annual catch target (</w:t>
      </w:r>
      <w:r w:rsidRPr="00855015">
        <w:rPr>
          <w:color w:val="222222"/>
          <w:shd w:val="clear" w:color="auto" w:fill="FFFFFF"/>
        </w:rPr>
        <w:t>ACT</w:t>
      </w:r>
      <w:r>
        <w:rPr>
          <w:color w:val="222222"/>
          <w:shd w:val="clear" w:color="auto" w:fill="FFFFFF"/>
        </w:rPr>
        <w:t>)</w:t>
      </w:r>
      <w:r w:rsidRPr="00855015">
        <w:rPr>
          <w:color w:val="222222"/>
          <w:shd w:val="clear" w:color="auto" w:fill="FFFFFF"/>
        </w:rPr>
        <w:t xml:space="preserve">, and </w:t>
      </w:r>
      <w:r>
        <w:rPr>
          <w:color w:val="222222"/>
          <w:shd w:val="clear" w:color="auto" w:fill="FFFFFF"/>
        </w:rPr>
        <w:t>optimum yield (</w:t>
      </w:r>
      <w:r w:rsidRPr="00855015">
        <w:rPr>
          <w:color w:val="222222"/>
          <w:shd w:val="clear" w:color="auto" w:fill="FFFFFF"/>
        </w:rPr>
        <w:t>OY</w:t>
      </w:r>
      <w:r>
        <w:rPr>
          <w:color w:val="222222"/>
          <w:shd w:val="clear" w:color="auto" w:fill="FFFFFF"/>
        </w:rPr>
        <w:t>)</w:t>
      </w:r>
      <w:r w:rsidRPr="00855015">
        <w:rPr>
          <w:color w:val="222222"/>
          <w:shd w:val="clear" w:color="auto" w:fill="FFFFFF"/>
        </w:rPr>
        <w:t xml:space="preserve"> for the black sea bass stock.  </w:t>
      </w:r>
    </w:p>
    <w:p w:rsidR="00506523" w:rsidRDefault="00506523" w:rsidP="00891F13">
      <w:pPr>
        <w:rPr>
          <w:color w:val="222222"/>
          <w:shd w:val="clear" w:color="auto" w:fill="FFFFFF"/>
        </w:rPr>
      </w:pPr>
    </w:p>
    <w:p w:rsidR="00506523" w:rsidRPr="00855015" w:rsidRDefault="00506523" w:rsidP="00891F13">
      <w:r>
        <w:t>The</w:t>
      </w:r>
      <w:r w:rsidRPr="00855015">
        <w:t xml:space="preserve"> </w:t>
      </w:r>
      <w:r>
        <w:t>increase to the commercial ACL c</w:t>
      </w:r>
      <w:r w:rsidRPr="00855015">
        <w:t xml:space="preserve">ould </w:t>
      </w:r>
      <w:r>
        <w:t xml:space="preserve">have </w:t>
      </w:r>
      <w:r w:rsidRPr="00855015">
        <w:t>extend</w:t>
      </w:r>
      <w:r>
        <w:t>ed</w:t>
      </w:r>
      <w:r w:rsidRPr="00855015">
        <w:t xml:space="preserve"> fishing activity with black sea </w:t>
      </w:r>
      <w:r>
        <w:t xml:space="preserve">bass pot gear past November 1, </w:t>
      </w:r>
      <w:r w:rsidRPr="00855015">
        <w:t>the onset of right whale calving season in the South Atlantic</w:t>
      </w:r>
      <w:r>
        <w:t xml:space="preserve"> and migration of large Endangered Species Act (ESA)-listed whales.  </w:t>
      </w:r>
      <w:r w:rsidR="001F30F5">
        <w:t xml:space="preserve">Since </w:t>
      </w:r>
      <w:r>
        <w:t xml:space="preserve">black sea bass pot gear could potentially be used past November 1, </w:t>
      </w:r>
      <w:r w:rsidR="001F30F5">
        <w:t xml:space="preserve">the only way the ACL increase could be implemented quickly was for </w:t>
      </w:r>
      <w:r>
        <w:t xml:space="preserve">the </w:t>
      </w:r>
      <w:r w:rsidRPr="00855015">
        <w:t xml:space="preserve">Council and NMFS </w:t>
      </w:r>
      <w:r w:rsidR="001F30F5">
        <w:t>to implement</w:t>
      </w:r>
      <w:r w:rsidR="001F30F5" w:rsidRPr="00855015">
        <w:t xml:space="preserve"> </w:t>
      </w:r>
      <w:r w:rsidRPr="00855015">
        <w:t>a prohibition on the use of black sea bass pot gear from Novemb</w:t>
      </w:r>
      <w:r>
        <w:t>er 1 through April 30 each year, beginning in 2013.</w:t>
      </w:r>
      <w:r w:rsidR="0014376E">
        <w:t xml:space="preserve">  </w:t>
      </w:r>
      <w:r w:rsidR="001F30F5">
        <w:t xml:space="preserve">Further, </w:t>
      </w:r>
      <w:r w:rsidR="0014376E">
        <w:t>with the change in the start of the commercial black sea bass fishing year to January 1 each year</w:t>
      </w:r>
      <w:r w:rsidR="005725AF">
        <w:t xml:space="preserve"> proposed in Regulatory Amendment 14</w:t>
      </w:r>
      <w:r w:rsidR="0014376E">
        <w:t xml:space="preserve">, there would </w:t>
      </w:r>
      <w:r w:rsidR="001F30F5">
        <w:t xml:space="preserve">likely </w:t>
      </w:r>
      <w:r w:rsidR="0014376E">
        <w:t>be pots in the water during the first part of the year when whales would be present in the South Atlantic.</w:t>
      </w:r>
    </w:p>
    <w:p w:rsidR="00506523" w:rsidRPr="00855015" w:rsidRDefault="00506523" w:rsidP="00891F13"/>
    <w:p w:rsidR="00506523" w:rsidRDefault="00506523" w:rsidP="00891F13">
      <w:pPr>
        <w:rPr>
          <w:color w:val="222222"/>
          <w:shd w:val="clear" w:color="auto" w:fill="FFFFFF"/>
        </w:rPr>
      </w:pPr>
      <w:r w:rsidRPr="00855015">
        <w:rPr>
          <w:color w:val="222222"/>
          <w:shd w:val="clear" w:color="auto" w:fill="FFFFFF"/>
        </w:rPr>
        <w:t xml:space="preserve">Without the </w:t>
      </w:r>
      <w:r w:rsidRPr="00855015">
        <w:t>prohibition on the use of black sea bass pots during the large whale migration and right whale calving season, a re</w:t>
      </w:r>
      <w:r>
        <w:t>-</w:t>
      </w:r>
      <w:r w:rsidRPr="00855015">
        <w:t>initiation of formal consultation for the snapper grouper fishery would have been triggered under the ESA.  The consultation would have required development of a biological opinion to perform the additional analyses to evaluate the effects of black sea bass pot gear on ESA listed species.  T</w:t>
      </w:r>
      <w:r w:rsidRPr="00855015">
        <w:rPr>
          <w:color w:val="222222"/>
          <w:shd w:val="clear" w:color="auto" w:fill="FFFFFF"/>
        </w:rPr>
        <w:t>hose analyses would not have been completed in time to allow the ACL increases to be implemented for the 2013-2014 fishing season, which began on June 1.  The black sea bass pot prohibition was</w:t>
      </w:r>
      <w:r>
        <w:rPr>
          <w:color w:val="222222"/>
          <w:shd w:val="clear" w:color="auto" w:fill="FFFFFF"/>
        </w:rPr>
        <w:t xml:space="preserve"> a precautionary step taken by </w:t>
      </w:r>
      <w:r w:rsidRPr="00855015">
        <w:rPr>
          <w:color w:val="222222"/>
          <w:shd w:val="clear" w:color="auto" w:fill="FFFFFF"/>
        </w:rPr>
        <w:t xml:space="preserve">the Council </w:t>
      </w:r>
      <w:r>
        <w:rPr>
          <w:color w:val="222222"/>
          <w:shd w:val="clear" w:color="auto" w:fill="FFFFFF"/>
        </w:rPr>
        <w:t xml:space="preserve">and NMFS </w:t>
      </w:r>
      <w:r w:rsidRPr="00855015">
        <w:rPr>
          <w:color w:val="222222"/>
          <w:shd w:val="clear" w:color="auto" w:fill="FFFFFF"/>
        </w:rPr>
        <w:t xml:space="preserve">to allow the black sea bass ACL to increase in the 2013-2014 fishing year, while preventing </w:t>
      </w:r>
      <w:r w:rsidR="001F30F5">
        <w:rPr>
          <w:color w:val="222222"/>
          <w:shd w:val="clear" w:color="auto" w:fill="FFFFFF"/>
        </w:rPr>
        <w:t xml:space="preserve">potential </w:t>
      </w:r>
      <w:r w:rsidRPr="00855015">
        <w:rPr>
          <w:color w:val="222222"/>
          <w:shd w:val="clear" w:color="auto" w:fill="FFFFFF"/>
        </w:rPr>
        <w:t>entanglements with ESA-listed whales until a comprehensiv</w:t>
      </w:r>
      <w:r>
        <w:rPr>
          <w:color w:val="222222"/>
          <w:shd w:val="clear" w:color="auto" w:fill="FFFFFF"/>
        </w:rPr>
        <w:t>e biological impact analysis could</w:t>
      </w:r>
      <w:r w:rsidRPr="00855015">
        <w:rPr>
          <w:color w:val="222222"/>
          <w:shd w:val="clear" w:color="auto" w:fill="FFFFFF"/>
        </w:rPr>
        <w:t xml:space="preserve"> be completed.</w:t>
      </w:r>
    </w:p>
    <w:p w:rsidR="00506523" w:rsidRDefault="00506523" w:rsidP="00891F13">
      <w:pPr>
        <w:rPr>
          <w:color w:val="222222"/>
          <w:shd w:val="clear" w:color="auto" w:fill="FFFFFF"/>
        </w:rPr>
      </w:pPr>
    </w:p>
    <w:p w:rsidR="00506523" w:rsidRDefault="00506523" w:rsidP="00891F13">
      <w:pPr>
        <w:outlineLvl w:val="0"/>
        <w:rPr>
          <w:szCs w:val="24"/>
        </w:rPr>
      </w:pPr>
      <w:r w:rsidRPr="0031550A">
        <w:rPr>
          <w:szCs w:val="24"/>
        </w:rPr>
        <w:t xml:space="preserve">Through Regulatory Amendment 16, the Council and NMFS are reconsidering the annual November 1 through April 30 prohibition on the use of black sea bass </w:t>
      </w:r>
      <w:r>
        <w:rPr>
          <w:szCs w:val="24"/>
        </w:rPr>
        <w:t xml:space="preserve">pot </w:t>
      </w:r>
      <w:r w:rsidRPr="0031550A">
        <w:rPr>
          <w:szCs w:val="24"/>
        </w:rPr>
        <w:t xml:space="preserve">gear.  Fishery managers are considering adjustments to both the geographical and temporal boundaries of the closure in order </w:t>
      </w:r>
      <w:r>
        <w:rPr>
          <w:szCs w:val="24"/>
        </w:rPr>
        <w:t xml:space="preserve">to improve </w:t>
      </w:r>
      <w:r w:rsidRPr="0031550A">
        <w:rPr>
          <w:szCs w:val="24"/>
        </w:rPr>
        <w:t xml:space="preserve">socio-economic </w:t>
      </w:r>
      <w:r>
        <w:rPr>
          <w:szCs w:val="24"/>
        </w:rPr>
        <w:t>benefits</w:t>
      </w:r>
      <w:r w:rsidRPr="0031550A">
        <w:rPr>
          <w:szCs w:val="24"/>
        </w:rPr>
        <w:t xml:space="preserve"> to black sea bass pot endorsement holders while maintaining protection for ESA-listed whales in the South Atlantic region.  </w:t>
      </w:r>
      <w:r>
        <w:rPr>
          <w:szCs w:val="24"/>
        </w:rPr>
        <w:t xml:space="preserve">During the scoping process for Regulatory Amendment 16, fishermen </w:t>
      </w:r>
      <w:r w:rsidRPr="0031550A">
        <w:rPr>
          <w:szCs w:val="24"/>
        </w:rPr>
        <w:t>reported that fishing for black sea bass during winter months is important to them</w:t>
      </w:r>
      <w:r>
        <w:rPr>
          <w:szCs w:val="24"/>
        </w:rPr>
        <w:t xml:space="preserve"> and claim that</w:t>
      </w:r>
      <w:r w:rsidRPr="0031550A">
        <w:rPr>
          <w:szCs w:val="24"/>
        </w:rPr>
        <w:t xml:space="preserve"> the fish migrate southward and are generally found closer to shore making them easier to harvest.  Fishermen have als</w:t>
      </w:r>
      <w:r>
        <w:rPr>
          <w:szCs w:val="24"/>
        </w:rPr>
        <w:t xml:space="preserve">o reported this time period is important </w:t>
      </w:r>
      <w:r w:rsidRPr="0031550A">
        <w:rPr>
          <w:szCs w:val="24"/>
        </w:rPr>
        <w:t>due to the coloration of the fish.</w:t>
      </w:r>
      <w:r>
        <w:rPr>
          <w:szCs w:val="24"/>
        </w:rPr>
        <w:t xml:space="preserve">  Fish tend to be a lot darker during winter </w:t>
      </w:r>
      <w:proofErr w:type="gramStart"/>
      <w:r>
        <w:rPr>
          <w:szCs w:val="24"/>
        </w:rPr>
        <w:t xml:space="preserve">months, which </w:t>
      </w:r>
      <w:r w:rsidR="00135EA7">
        <w:rPr>
          <w:szCs w:val="24"/>
        </w:rPr>
        <w:t>commands</w:t>
      </w:r>
      <w:proofErr w:type="gramEnd"/>
      <w:r w:rsidR="00135EA7">
        <w:rPr>
          <w:szCs w:val="24"/>
        </w:rPr>
        <w:t xml:space="preserve"> a higher price on the market.</w:t>
      </w:r>
    </w:p>
    <w:p w:rsidR="0031378A" w:rsidRDefault="0031378A" w:rsidP="00891F13">
      <w:pPr>
        <w:outlineLvl w:val="0"/>
        <w:rPr>
          <w:szCs w:val="24"/>
        </w:rPr>
      </w:pPr>
    </w:p>
    <w:p w:rsidR="00506523" w:rsidRPr="00135EA7" w:rsidRDefault="004740EB" w:rsidP="00506523">
      <w:pPr>
        <w:spacing w:line="276" w:lineRule="auto"/>
        <w:outlineLvl w:val="0"/>
        <w:rPr>
          <w:b/>
          <w:sz w:val="36"/>
          <w:szCs w:val="36"/>
        </w:rPr>
      </w:pPr>
      <w:r>
        <w:rPr>
          <w:b/>
          <w:sz w:val="36"/>
          <w:szCs w:val="36"/>
        </w:rPr>
        <w:lastRenderedPageBreak/>
        <w:t>History of Management of the Black Sea Bass Pot Fishery</w:t>
      </w:r>
    </w:p>
    <w:p w:rsidR="00506523" w:rsidRDefault="00506523" w:rsidP="00506523">
      <w:pPr>
        <w:spacing w:line="276" w:lineRule="auto"/>
        <w:outlineLvl w:val="0"/>
        <w:rPr>
          <w:szCs w:val="24"/>
        </w:rPr>
      </w:pPr>
    </w:p>
    <w:p w:rsidR="002942C9" w:rsidRPr="004740EB" w:rsidRDefault="004740EB" w:rsidP="00891F13">
      <w:pPr>
        <w:outlineLvl w:val="0"/>
        <w:rPr>
          <w:szCs w:val="24"/>
        </w:rPr>
      </w:pPr>
      <w:r>
        <w:rPr>
          <w:szCs w:val="24"/>
        </w:rPr>
        <w:t xml:space="preserve">The black sea bass fishery has been managed under the Snapper Grouper FMP since the plan was first published in 1983.  </w:t>
      </w:r>
      <w:r>
        <w:rPr>
          <w:b/>
          <w:szCs w:val="24"/>
        </w:rPr>
        <w:t>Table 1</w:t>
      </w:r>
      <w:r>
        <w:rPr>
          <w:szCs w:val="24"/>
        </w:rPr>
        <w:t xml:space="preserve"> shows the actions implemented from 1983 through 2013 that have affected the black sea bass pot fishery.</w:t>
      </w:r>
      <w:r w:rsidR="002942C9">
        <w:rPr>
          <w:szCs w:val="24"/>
        </w:rPr>
        <w:t xml:space="preserve">  </w:t>
      </w:r>
    </w:p>
    <w:p w:rsidR="004740EB" w:rsidRDefault="004740EB" w:rsidP="00506523">
      <w:pPr>
        <w:spacing w:line="276" w:lineRule="auto"/>
        <w:outlineLvl w:val="0"/>
        <w:rPr>
          <w:szCs w:val="24"/>
        </w:rPr>
      </w:pPr>
    </w:p>
    <w:p w:rsidR="004740EB" w:rsidRDefault="004740EB" w:rsidP="00506523">
      <w:pPr>
        <w:spacing w:line="276" w:lineRule="auto"/>
        <w:outlineLvl w:val="0"/>
        <w:rPr>
          <w:szCs w:val="24"/>
        </w:rPr>
      </w:pPr>
      <w:proofErr w:type="gramStart"/>
      <w:r w:rsidRPr="004740EB">
        <w:rPr>
          <w:b/>
          <w:szCs w:val="24"/>
        </w:rPr>
        <w:t>Table 1</w:t>
      </w:r>
      <w:r w:rsidR="005725AF">
        <w:rPr>
          <w:szCs w:val="24"/>
        </w:rPr>
        <w:t>.</w:t>
      </w:r>
      <w:proofErr w:type="gramEnd"/>
      <w:r w:rsidR="005725AF">
        <w:rPr>
          <w:szCs w:val="24"/>
        </w:rPr>
        <w:t xml:space="preserve"> </w:t>
      </w:r>
      <w:proofErr w:type="gramStart"/>
      <w:r w:rsidR="005725AF">
        <w:rPr>
          <w:szCs w:val="24"/>
        </w:rPr>
        <w:t>History of SAFMC m</w:t>
      </w:r>
      <w:r>
        <w:rPr>
          <w:szCs w:val="24"/>
        </w:rPr>
        <w:t>anage</w:t>
      </w:r>
      <w:r w:rsidR="005725AF">
        <w:rPr>
          <w:szCs w:val="24"/>
        </w:rPr>
        <w:t>ment of the black sea bass pot f</w:t>
      </w:r>
      <w:r>
        <w:rPr>
          <w:szCs w:val="24"/>
        </w:rPr>
        <w:t>ishery</w:t>
      </w:r>
      <w:r w:rsidR="00485A1B">
        <w:rPr>
          <w:szCs w:val="24"/>
        </w:rPr>
        <w:t>.</w:t>
      </w:r>
      <w:proofErr w:type="gramEnd"/>
    </w:p>
    <w:tbl>
      <w:tblPr>
        <w:tblW w:w="10097" w:type="dxa"/>
        <w:tblInd w:w="93" w:type="dxa"/>
        <w:tblLayout w:type="fixed"/>
        <w:tblLook w:val="04A0"/>
      </w:tblPr>
      <w:tblGrid>
        <w:gridCol w:w="1095"/>
        <w:gridCol w:w="1890"/>
        <w:gridCol w:w="7112"/>
      </w:tblGrid>
      <w:tr w:rsidR="00747999" w:rsidRPr="005E22B5" w:rsidTr="00747999">
        <w:trPr>
          <w:trHeight w:val="268"/>
        </w:trPr>
        <w:tc>
          <w:tcPr>
            <w:tcW w:w="1095"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747999" w:rsidRPr="005E22B5" w:rsidRDefault="00747999" w:rsidP="00747999">
            <w:pPr>
              <w:outlineLvl w:val="0"/>
              <w:rPr>
                <w:b/>
                <w:bCs/>
                <w:color w:val="000000"/>
              </w:rPr>
            </w:pPr>
            <w:r w:rsidRPr="005E22B5">
              <w:rPr>
                <w:b/>
                <w:bCs/>
                <w:color w:val="000000"/>
              </w:rPr>
              <w:t>Date</w:t>
            </w:r>
          </w:p>
        </w:tc>
        <w:tc>
          <w:tcPr>
            <w:tcW w:w="1890" w:type="dxa"/>
            <w:tcBorders>
              <w:top w:val="single" w:sz="8" w:space="0" w:color="auto"/>
              <w:left w:val="nil"/>
              <w:bottom w:val="single" w:sz="4" w:space="0" w:color="auto"/>
              <w:right w:val="single" w:sz="4" w:space="0" w:color="auto"/>
            </w:tcBorders>
            <w:shd w:val="clear" w:color="000000" w:fill="C5D9F1"/>
            <w:noWrap/>
            <w:vAlign w:val="bottom"/>
            <w:hideMark/>
          </w:tcPr>
          <w:p w:rsidR="00747999" w:rsidRPr="005E22B5" w:rsidRDefault="00747999" w:rsidP="00747999">
            <w:pPr>
              <w:jc w:val="center"/>
              <w:rPr>
                <w:b/>
                <w:bCs/>
                <w:color w:val="000000"/>
              </w:rPr>
            </w:pPr>
            <w:r w:rsidRPr="005E22B5">
              <w:rPr>
                <w:b/>
                <w:bCs/>
                <w:color w:val="000000"/>
              </w:rPr>
              <w:t>Document</w:t>
            </w:r>
          </w:p>
        </w:tc>
        <w:tc>
          <w:tcPr>
            <w:tcW w:w="7112" w:type="dxa"/>
            <w:tcBorders>
              <w:top w:val="single" w:sz="8" w:space="0" w:color="auto"/>
              <w:left w:val="nil"/>
              <w:bottom w:val="single" w:sz="4" w:space="0" w:color="auto"/>
              <w:right w:val="single" w:sz="8" w:space="0" w:color="auto"/>
            </w:tcBorders>
            <w:shd w:val="clear" w:color="000000" w:fill="C5D9F1"/>
            <w:noWrap/>
            <w:vAlign w:val="bottom"/>
            <w:hideMark/>
          </w:tcPr>
          <w:p w:rsidR="00747999" w:rsidRPr="005E22B5" w:rsidRDefault="00747999" w:rsidP="00747999">
            <w:pPr>
              <w:jc w:val="center"/>
              <w:rPr>
                <w:b/>
                <w:bCs/>
                <w:color w:val="000000"/>
              </w:rPr>
            </w:pPr>
            <w:r w:rsidRPr="005E22B5">
              <w:rPr>
                <w:b/>
                <w:bCs/>
                <w:color w:val="000000"/>
              </w:rPr>
              <w:t>Action</w:t>
            </w:r>
          </w:p>
        </w:tc>
      </w:tr>
      <w:tr w:rsidR="00747999" w:rsidRPr="005E22B5" w:rsidTr="00747999">
        <w:trPr>
          <w:trHeight w:val="161"/>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747999" w:rsidRPr="005E22B5" w:rsidRDefault="00747999" w:rsidP="00747999">
            <w:pPr>
              <w:jc w:val="right"/>
              <w:rPr>
                <w:color w:val="000000"/>
              </w:rPr>
            </w:pPr>
            <w:r w:rsidRPr="005E22B5">
              <w:rPr>
                <w:color w:val="000000"/>
              </w:rPr>
              <w:t>8/31/83</w:t>
            </w:r>
          </w:p>
        </w:tc>
        <w:tc>
          <w:tcPr>
            <w:tcW w:w="1890" w:type="dxa"/>
            <w:tcBorders>
              <w:top w:val="nil"/>
              <w:left w:val="nil"/>
              <w:bottom w:val="single" w:sz="4" w:space="0" w:color="auto"/>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Original FMP</w:t>
            </w:r>
          </w:p>
        </w:tc>
        <w:tc>
          <w:tcPr>
            <w:tcW w:w="7112" w:type="dxa"/>
            <w:tcBorders>
              <w:top w:val="nil"/>
              <w:left w:val="nil"/>
              <w:bottom w:val="single" w:sz="4" w:space="0" w:color="auto"/>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8" size limit</w:t>
            </w:r>
          </w:p>
        </w:tc>
      </w:tr>
      <w:tr w:rsidR="00747999" w:rsidRPr="005E22B5" w:rsidTr="00747999">
        <w:trPr>
          <w:trHeight w:val="59"/>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747999" w:rsidRPr="005E22B5" w:rsidRDefault="00747999" w:rsidP="00747999">
            <w:pPr>
              <w:jc w:val="right"/>
              <w:rPr>
                <w:color w:val="000000"/>
              </w:rPr>
            </w:pPr>
            <w:r w:rsidRPr="005E22B5">
              <w:rPr>
                <w:color w:val="000000"/>
              </w:rPr>
              <w:t>1/1/92</w:t>
            </w:r>
          </w:p>
        </w:tc>
        <w:tc>
          <w:tcPr>
            <w:tcW w:w="1890" w:type="dxa"/>
            <w:tcBorders>
              <w:top w:val="nil"/>
              <w:left w:val="nil"/>
              <w:bottom w:val="single" w:sz="4" w:space="0" w:color="auto"/>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Amendment 1</w:t>
            </w:r>
          </w:p>
        </w:tc>
        <w:tc>
          <w:tcPr>
            <w:tcW w:w="7112" w:type="dxa"/>
            <w:tcBorders>
              <w:top w:val="nil"/>
              <w:left w:val="nil"/>
              <w:bottom w:val="single" w:sz="4" w:space="0" w:color="auto"/>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Prohibit black sea bass pots south of Cape Canaveral</w:t>
            </w:r>
          </w:p>
        </w:tc>
      </w:tr>
      <w:tr w:rsidR="00747999" w:rsidRPr="005E22B5" w:rsidTr="00747999">
        <w:trPr>
          <w:trHeight w:val="59"/>
        </w:trPr>
        <w:tc>
          <w:tcPr>
            <w:tcW w:w="1095" w:type="dxa"/>
            <w:tcBorders>
              <w:top w:val="nil"/>
              <w:left w:val="single" w:sz="8" w:space="0" w:color="auto"/>
              <w:bottom w:val="nil"/>
              <w:right w:val="single" w:sz="4" w:space="0" w:color="auto"/>
            </w:tcBorders>
            <w:shd w:val="clear" w:color="auto" w:fill="auto"/>
            <w:noWrap/>
            <w:vAlign w:val="bottom"/>
            <w:hideMark/>
          </w:tcPr>
          <w:p w:rsidR="00747999" w:rsidRPr="005E22B5" w:rsidRDefault="00747999" w:rsidP="00747999">
            <w:pPr>
              <w:jc w:val="right"/>
              <w:rPr>
                <w:color w:val="000000"/>
              </w:rPr>
            </w:pPr>
            <w:r w:rsidRPr="005E22B5">
              <w:rPr>
                <w:color w:val="000000"/>
              </w:rPr>
              <w:t>8/31/92</w:t>
            </w:r>
          </w:p>
        </w:tc>
        <w:tc>
          <w:tcPr>
            <w:tcW w:w="1890" w:type="dxa"/>
            <w:tcBorders>
              <w:top w:val="nil"/>
              <w:left w:val="nil"/>
              <w:bottom w:val="nil"/>
              <w:right w:val="nil"/>
            </w:tcBorders>
            <w:shd w:val="clear" w:color="auto" w:fill="auto"/>
            <w:noWrap/>
            <w:vAlign w:val="bottom"/>
            <w:hideMark/>
          </w:tcPr>
          <w:p w:rsidR="00747999" w:rsidRPr="005E22B5" w:rsidRDefault="00747999" w:rsidP="00747999">
            <w:pPr>
              <w:rPr>
                <w:color w:val="000000"/>
              </w:rPr>
            </w:pPr>
            <w:r w:rsidRPr="005E22B5">
              <w:rPr>
                <w:color w:val="000000"/>
              </w:rPr>
              <w:t>Emergency Rule</w:t>
            </w:r>
          </w:p>
        </w:tc>
        <w:tc>
          <w:tcPr>
            <w:tcW w:w="7112" w:type="dxa"/>
            <w:tcBorders>
              <w:top w:val="nil"/>
              <w:left w:val="single" w:sz="4" w:space="0" w:color="auto"/>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Modified definition of black sea bass pots</w:t>
            </w:r>
          </w:p>
        </w:tc>
      </w:tr>
      <w:tr w:rsidR="00747999" w:rsidRPr="005E22B5" w:rsidTr="00747999">
        <w:trPr>
          <w:trHeight w:val="69"/>
        </w:trPr>
        <w:tc>
          <w:tcPr>
            <w:tcW w:w="1095" w:type="dxa"/>
            <w:tcBorders>
              <w:top w:val="nil"/>
              <w:left w:val="single" w:sz="8" w:space="0" w:color="auto"/>
              <w:bottom w:val="nil"/>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nil"/>
              <w:bottom w:val="nil"/>
              <w:right w:val="nil"/>
            </w:tcBorders>
            <w:shd w:val="clear" w:color="auto" w:fill="auto"/>
            <w:noWrap/>
            <w:vAlign w:val="bottom"/>
            <w:hideMark/>
          </w:tcPr>
          <w:p w:rsidR="00747999" w:rsidRPr="005E22B5" w:rsidRDefault="00747999" w:rsidP="00747999">
            <w:pPr>
              <w:rPr>
                <w:color w:val="000000"/>
              </w:rPr>
            </w:pPr>
          </w:p>
        </w:tc>
        <w:tc>
          <w:tcPr>
            <w:tcW w:w="7112" w:type="dxa"/>
            <w:tcBorders>
              <w:top w:val="nil"/>
              <w:left w:val="single" w:sz="4" w:space="0" w:color="auto"/>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 xml:space="preserve">Allowed </w:t>
            </w:r>
            <w:proofErr w:type="spellStart"/>
            <w:r w:rsidRPr="005E22B5">
              <w:rPr>
                <w:color w:val="000000"/>
              </w:rPr>
              <w:t>multigear</w:t>
            </w:r>
            <w:proofErr w:type="spellEnd"/>
            <w:r w:rsidRPr="005E22B5">
              <w:rPr>
                <w:color w:val="000000"/>
              </w:rPr>
              <w:t xml:space="preserve"> trips for black sea bass</w:t>
            </w:r>
          </w:p>
        </w:tc>
      </w:tr>
      <w:tr w:rsidR="00747999" w:rsidRPr="005E22B5" w:rsidTr="00747999">
        <w:trPr>
          <w:trHeight w:val="69"/>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nil"/>
              <w:bottom w:val="nil"/>
              <w:right w:val="nil"/>
            </w:tcBorders>
            <w:shd w:val="clear" w:color="auto" w:fill="auto"/>
            <w:noWrap/>
            <w:vAlign w:val="bottom"/>
            <w:hideMark/>
          </w:tcPr>
          <w:p w:rsidR="00747999" w:rsidRPr="005E22B5" w:rsidRDefault="00747999" w:rsidP="00747999">
            <w:pPr>
              <w:rPr>
                <w:color w:val="000000"/>
              </w:rPr>
            </w:pPr>
          </w:p>
        </w:tc>
        <w:tc>
          <w:tcPr>
            <w:tcW w:w="7112" w:type="dxa"/>
            <w:tcBorders>
              <w:top w:val="nil"/>
              <w:left w:val="single" w:sz="4" w:space="0" w:color="auto"/>
              <w:bottom w:val="single" w:sz="4" w:space="0" w:color="auto"/>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 xml:space="preserve">Retention of </w:t>
            </w:r>
            <w:proofErr w:type="spellStart"/>
            <w:r w:rsidRPr="005E22B5">
              <w:rPr>
                <w:color w:val="000000"/>
              </w:rPr>
              <w:t>bycatch</w:t>
            </w:r>
            <w:proofErr w:type="spellEnd"/>
            <w:r w:rsidRPr="005E22B5">
              <w:rPr>
                <w:color w:val="000000"/>
              </w:rPr>
              <w:t xml:space="preserve"> in the black sea bass fishery</w:t>
            </w:r>
          </w:p>
        </w:tc>
      </w:tr>
      <w:tr w:rsidR="00747999" w:rsidRPr="005E22B5" w:rsidTr="00747999">
        <w:trPr>
          <w:trHeight w:val="59"/>
        </w:trPr>
        <w:tc>
          <w:tcPr>
            <w:tcW w:w="1095" w:type="dxa"/>
            <w:tcBorders>
              <w:top w:val="nil"/>
              <w:left w:val="single" w:sz="8" w:space="0" w:color="auto"/>
              <w:bottom w:val="nil"/>
              <w:right w:val="nil"/>
            </w:tcBorders>
            <w:shd w:val="clear" w:color="auto" w:fill="auto"/>
            <w:noWrap/>
            <w:vAlign w:val="bottom"/>
            <w:hideMark/>
          </w:tcPr>
          <w:p w:rsidR="00747999" w:rsidRPr="005E22B5" w:rsidRDefault="00747999" w:rsidP="00747999">
            <w:pPr>
              <w:jc w:val="right"/>
              <w:rPr>
                <w:color w:val="000000"/>
              </w:rPr>
            </w:pPr>
            <w:r w:rsidRPr="005E22B5">
              <w:rPr>
                <w:color w:val="000000"/>
              </w:rPr>
              <w:t>2/24/99</w:t>
            </w:r>
          </w:p>
        </w:tc>
        <w:tc>
          <w:tcPr>
            <w:tcW w:w="1890" w:type="dxa"/>
            <w:tcBorders>
              <w:top w:val="single" w:sz="4" w:space="0" w:color="auto"/>
              <w:left w:val="single" w:sz="4" w:space="0" w:color="auto"/>
              <w:bottom w:val="nil"/>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Amendment 9</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10" total length size limit</w:t>
            </w:r>
          </w:p>
        </w:tc>
      </w:tr>
      <w:tr w:rsidR="00747999" w:rsidRPr="005E22B5" w:rsidTr="00747999">
        <w:trPr>
          <w:trHeight w:val="69"/>
        </w:trPr>
        <w:tc>
          <w:tcPr>
            <w:tcW w:w="1095" w:type="dxa"/>
            <w:tcBorders>
              <w:top w:val="nil"/>
              <w:left w:val="single" w:sz="8" w:space="0" w:color="auto"/>
              <w:bottom w:val="nil"/>
              <w:right w:val="nil"/>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single" w:sz="4" w:space="0" w:color="auto"/>
              <w:bottom w:val="nil"/>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Require escape vents and degradable fasteners</w:t>
            </w:r>
          </w:p>
        </w:tc>
      </w:tr>
      <w:tr w:rsidR="00747999" w:rsidRPr="005E22B5" w:rsidTr="00747999">
        <w:trPr>
          <w:trHeight w:val="80"/>
        </w:trPr>
        <w:tc>
          <w:tcPr>
            <w:tcW w:w="10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47999" w:rsidRPr="005E22B5" w:rsidRDefault="00747999" w:rsidP="00747999">
            <w:pPr>
              <w:jc w:val="right"/>
              <w:rPr>
                <w:color w:val="000000"/>
              </w:rPr>
            </w:pPr>
            <w:r w:rsidRPr="005E22B5">
              <w:rPr>
                <w:color w:val="000000"/>
              </w:rPr>
              <w:t>12/2/99</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Amendment 11</w:t>
            </w:r>
          </w:p>
        </w:tc>
        <w:tc>
          <w:tcPr>
            <w:tcW w:w="7112" w:type="dxa"/>
            <w:tcBorders>
              <w:top w:val="single" w:sz="4" w:space="0" w:color="auto"/>
              <w:left w:val="nil"/>
              <w:bottom w:val="single" w:sz="4" w:space="0" w:color="auto"/>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Set overfished level at 3.72 mp</w:t>
            </w:r>
          </w:p>
        </w:tc>
      </w:tr>
      <w:tr w:rsidR="00747999" w:rsidRPr="005E22B5" w:rsidTr="00747999">
        <w:trPr>
          <w:trHeight w:val="341"/>
        </w:trPr>
        <w:tc>
          <w:tcPr>
            <w:tcW w:w="1095" w:type="dxa"/>
            <w:tcBorders>
              <w:top w:val="nil"/>
              <w:left w:val="single" w:sz="8" w:space="0" w:color="auto"/>
              <w:bottom w:val="nil"/>
              <w:right w:val="nil"/>
            </w:tcBorders>
            <w:shd w:val="clear" w:color="auto" w:fill="auto"/>
            <w:noWrap/>
            <w:hideMark/>
          </w:tcPr>
          <w:p w:rsidR="00747999" w:rsidRPr="005E22B5" w:rsidRDefault="00747999" w:rsidP="00747999">
            <w:pPr>
              <w:jc w:val="right"/>
              <w:rPr>
                <w:color w:val="000000"/>
              </w:rPr>
            </w:pPr>
            <w:r w:rsidRPr="005E22B5">
              <w:rPr>
                <w:color w:val="000000"/>
              </w:rPr>
              <w:t>10/23/06</w:t>
            </w:r>
          </w:p>
        </w:tc>
        <w:tc>
          <w:tcPr>
            <w:tcW w:w="1890" w:type="dxa"/>
            <w:tcBorders>
              <w:top w:val="nil"/>
              <w:left w:val="single" w:sz="4" w:space="0" w:color="auto"/>
              <w:bottom w:val="nil"/>
              <w:right w:val="single" w:sz="4" w:space="0" w:color="auto"/>
            </w:tcBorders>
            <w:shd w:val="clear" w:color="auto" w:fill="auto"/>
            <w:noWrap/>
            <w:hideMark/>
          </w:tcPr>
          <w:p w:rsidR="00747999" w:rsidRPr="005E22B5" w:rsidRDefault="00747999" w:rsidP="00747999">
            <w:pPr>
              <w:rPr>
                <w:color w:val="000000"/>
              </w:rPr>
            </w:pPr>
            <w:r w:rsidRPr="005E22B5">
              <w:rPr>
                <w:color w:val="000000"/>
              </w:rPr>
              <w:t>Amendment 13c</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Commercial step-down in ACL from 477,000</w:t>
            </w:r>
            <w:r>
              <w:rPr>
                <w:color w:val="000000"/>
              </w:rPr>
              <w:t xml:space="preserve"> lbs </w:t>
            </w:r>
            <w:proofErr w:type="spellStart"/>
            <w:r>
              <w:rPr>
                <w:color w:val="000000"/>
              </w:rPr>
              <w:t>gw</w:t>
            </w:r>
            <w:proofErr w:type="spellEnd"/>
            <w:r w:rsidRPr="005E22B5">
              <w:rPr>
                <w:color w:val="000000"/>
              </w:rPr>
              <w:t xml:space="preserve"> in 2006 to 309,000 </w:t>
            </w:r>
            <w:r>
              <w:rPr>
                <w:color w:val="000000"/>
              </w:rPr>
              <w:t xml:space="preserve">lbs </w:t>
            </w:r>
            <w:proofErr w:type="spellStart"/>
            <w:r>
              <w:rPr>
                <w:color w:val="000000"/>
              </w:rPr>
              <w:t>gw</w:t>
            </w:r>
            <w:proofErr w:type="spellEnd"/>
            <w:r>
              <w:rPr>
                <w:color w:val="000000"/>
              </w:rPr>
              <w:t xml:space="preserve"> </w:t>
            </w:r>
            <w:r w:rsidRPr="005E22B5">
              <w:rPr>
                <w:color w:val="000000"/>
              </w:rPr>
              <w:t>in 2008</w:t>
            </w:r>
          </w:p>
        </w:tc>
      </w:tr>
      <w:tr w:rsidR="00747999" w:rsidRPr="005E22B5" w:rsidTr="00747999">
        <w:trPr>
          <w:trHeight w:val="69"/>
        </w:trPr>
        <w:tc>
          <w:tcPr>
            <w:tcW w:w="1095" w:type="dxa"/>
            <w:tcBorders>
              <w:top w:val="nil"/>
              <w:left w:val="single" w:sz="8" w:space="0" w:color="auto"/>
              <w:bottom w:val="nil"/>
              <w:right w:val="nil"/>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single" w:sz="4" w:space="0" w:color="auto"/>
              <w:bottom w:val="nil"/>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Require 2" mesh on pots</w:t>
            </w:r>
          </w:p>
        </w:tc>
      </w:tr>
      <w:tr w:rsidR="00747999" w:rsidRPr="005E22B5" w:rsidTr="00747999">
        <w:trPr>
          <w:trHeight w:val="69"/>
        </w:trPr>
        <w:tc>
          <w:tcPr>
            <w:tcW w:w="1095" w:type="dxa"/>
            <w:tcBorders>
              <w:top w:val="nil"/>
              <w:left w:val="single" w:sz="8" w:space="0" w:color="auto"/>
              <w:bottom w:val="nil"/>
              <w:right w:val="nil"/>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Change fishing year to June through May</w:t>
            </w:r>
          </w:p>
        </w:tc>
      </w:tr>
      <w:tr w:rsidR="00747999" w:rsidRPr="005E22B5" w:rsidTr="00747999">
        <w:trPr>
          <w:trHeight w:val="116"/>
        </w:trPr>
        <w:tc>
          <w:tcPr>
            <w:tcW w:w="1095" w:type="dxa"/>
            <w:tcBorders>
              <w:top w:val="single" w:sz="4" w:space="0" w:color="auto"/>
              <w:left w:val="single" w:sz="8" w:space="0" w:color="auto"/>
              <w:bottom w:val="nil"/>
              <w:right w:val="single" w:sz="4" w:space="0" w:color="auto"/>
            </w:tcBorders>
            <w:shd w:val="clear" w:color="auto" w:fill="auto"/>
            <w:noWrap/>
            <w:vAlign w:val="bottom"/>
            <w:hideMark/>
          </w:tcPr>
          <w:p w:rsidR="00747999" w:rsidRPr="005E22B5" w:rsidRDefault="00747999" w:rsidP="00747999">
            <w:pPr>
              <w:jc w:val="right"/>
              <w:rPr>
                <w:color w:val="000000"/>
              </w:rPr>
            </w:pPr>
            <w:r w:rsidRPr="005E22B5">
              <w:rPr>
                <w:color w:val="000000"/>
              </w:rPr>
              <w:t>7/1/12</w:t>
            </w:r>
          </w:p>
        </w:tc>
        <w:tc>
          <w:tcPr>
            <w:tcW w:w="1890" w:type="dxa"/>
            <w:tcBorders>
              <w:top w:val="nil"/>
              <w:left w:val="nil"/>
              <w:bottom w:val="nil"/>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Amendment 18a</w:t>
            </w:r>
          </w:p>
        </w:tc>
        <w:tc>
          <w:tcPr>
            <w:tcW w:w="7112" w:type="dxa"/>
            <w:tcBorders>
              <w:top w:val="single" w:sz="4" w:space="0" w:color="auto"/>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Reduced participation to 32 endorsements</w:t>
            </w:r>
          </w:p>
        </w:tc>
      </w:tr>
      <w:tr w:rsidR="00747999" w:rsidRPr="005E22B5" w:rsidTr="00747999">
        <w:trPr>
          <w:trHeight w:val="117"/>
        </w:trPr>
        <w:tc>
          <w:tcPr>
            <w:tcW w:w="1095" w:type="dxa"/>
            <w:tcBorders>
              <w:top w:val="nil"/>
              <w:left w:val="single" w:sz="8" w:space="0" w:color="auto"/>
              <w:bottom w:val="nil"/>
              <w:right w:val="nil"/>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single" w:sz="4" w:space="0" w:color="auto"/>
              <w:bottom w:val="nil"/>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1,000 lb</w:t>
            </w:r>
            <w:r>
              <w:rPr>
                <w:color w:val="000000"/>
              </w:rPr>
              <w:t>s</w:t>
            </w:r>
            <w:r w:rsidRPr="005E22B5">
              <w:rPr>
                <w:color w:val="000000"/>
              </w:rPr>
              <w:t xml:space="preserve"> </w:t>
            </w:r>
            <w:proofErr w:type="spellStart"/>
            <w:r w:rsidRPr="005E22B5">
              <w:rPr>
                <w:color w:val="000000"/>
              </w:rPr>
              <w:t>gw</w:t>
            </w:r>
            <w:proofErr w:type="spellEnd"/>
            <w:r w:rsidRPr="005E22B5">
              <w:rPr>
                <w:color w:val="000000"/>
              </w:rPr>
              <w:t xml:space="preserve"> (1,180 </w:t>
            </w:r>
            <w:proofErr w:type="spellStart"/>
            <w:r w:rsidRPr="005E22B5">
              <w:rPr>
                <w:color w:val="000000"/>
              </w:rPr>
              <w:t>ww</w:t>
            </w:r>
            <w:proofErr w:type="spellEnd"/>
            <w:r w:rsidRPr="005E22B5">
              <w:rPr>
                <w:color w:val="000000"/>
              </w:rPr>
              <w:t>) commercial trip limit</w:t>
            </w:r>
          </w:p>
        </w:tc>
      </w:tr>
      <w:tr w:rsidR="00747999" w:rsidRPr="005E22B5" w:rsidTr="00747999">
        <w:trPr>
          <w:trHeight w:val="198"/>
        </w:trPr>
        <w:tc>
          <w:tcPr>
            <w:tcW w:w="1095" w:type="dxa"/>
            <w:tcBorders>
              <w:top w:val="nil"/>
              <w:left w:val="single" w:sz="8" w:space="0" w:color="auto"/>
              <w:bottom w:val="nil"/>
              <w:right w:val="nil"/>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single" w:sz="4" w:space="0" w:color="auto"/>
              <w:bottom w:val="nil"/>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Maximum of 35 pots per vessel</w:t>
            </w:r>
          </w:p>
        </w:tc>
      </w:tr>
      <w:tr w:rsidR="00747999" w:rsidRPr="005E22B5" w:rsidTr="00747999">
        <w:trPr>
          <w:trHeight w:val="108"/>
        </w:trPr>
        <w:tc>
          <w:tcPr>
            <w:tcW w:w="1095" w:type="dxa"/>
            <w:tcBorders>
              <w:top w:val="nil"/>
              <w:left w:val="single" w:sz="8" w:space="0" w:color="auto"/>
              <w:bottom w:val="nil"/>
              <w:right w:val="nil"/>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single" w:sz="4" w:space="0" w:color="auto"/>
              <w:bottom w:val="nil"/>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Increased size limit to 11" total length</w:t>
            </w:r>
          </w:p>
        </w:tc>
      </w:tr>
      <w:tr w:rsidR="00747999" w:rsidRPr="005E22B5" w:rsidTr="00747999">
        <w:trPr>
          <w:trHeight w:val="69"/>
        </w:trPr>
        <w:tc>
          <w:tcPr>
            <w:tcW w:w="1095" w:type="dxa"/>
            <w:tcBorders>
              <w:top w:val="nil"/>
              <w:left w:val="single" w:sz="8" w:space="0" w:color="auto"/>
              <w:bottom w:val="nil"/>
              <w:right w:val="nil"/>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Pots must be brought to shore at the conclusion of a trip</w:t>
            </w:r>
          </w:p>
        </w:tc>
      </w:tr>
      <w:tr w:rsidR="00747999" w:rsidRPr="005E22B5" w:rsidTr="00747999">
        <w:trPr>
          <w:trHeight w:val="71"/>
        </w:trPr>
        <w:tc>
          <w:tcPr>
            <w:tcW w:w="1095" w:type="dxa"/>
            <w:tcBorders>
              <w:top w:val="single" w:sz="4" w:space="0" w:color="auto"/>
              <w:left w:val="single" w:sz="8" w:space="0" w:color="auto"/>
              <w:bottom w:val="nil"/>
              <w:right w:val="single" w:sz="4" w:space="0" w:color="auto"/>
            </w:tcBorders>
            <w:shd w:val="clear" w:color="auto" w:fill="auto"/>
            <w:noWrap/>
            <w:vAlign w:val="bottom"/>
            <w:hideMark/>
          </w:tcPr>
          <w:p w:rsidR="00747999" w:rsidRPr="005E22B5" w:rsidRDefault="00747999" w:rsidP="00747999">
            <w:pPr>
              <w:jc w:val="right"/>
              <w:rPr>
                <w:color w:val="000000"/>
              </w:rPr>
            </w:pPr>
            <w:r w:rsidRPr="005E22B5">
              <w:rPr>
                <w:color w:val="000000"/>
              </w:rPr>
              <w:t>9/23/13</w:t>
            </w:r>
          </w:p>
        </w:tc>
        <w:tc>
          <w:tcPr>
            <w:tcW w:w="1890" w:type="dxa"/>
            <w:tcBorders>
              <w:top w:val="nil"/>
              <w:left w:val="nil"/>
              <w:bottom w:val="nil"/>
              <w:right w:val="single" w:sz="4" w:space="0" w:color="auto"/>
            </w:tcBorders>
            <w:shd w:val="clear" w:color="auto" w:fill="auto"/>
            <w:noWrap/>
            <w:vAlign w:val="bottom"/>
            <w:hideMark/>
          </w:tcPr>
          <w:p w:rsidR="00747999" w:rsidRPr="005E22B5" w:rsidRDefault="00747999" w:rsidP="00747999">
            <w:pPr>
              <w:rPr>
                <w:color w:val="000000"/>
              </w:rPr>
            </w:pPr>
            <w:proofErr w:type="spellStart"/>
            <w:r w:rsidRPr="005E22B5">
              <w:rPr>
                <w:color w:val="000000"/>
              </w:rPr>
              <w:t>Reg</w:t>
            </w:r>
            <w:proofErr w:type="spellEnd"/>
            <w:r w:rsidRPr="005E22B5">
              <w:rPr>
                <w:color w:val="000000"/>
              </w:rPr>
              <w:t xml:space="preserve"> Amend 19</w:t>
            </w:r>
          </w:p>
        </w:tc>
        <w:tc>
          <w:tcPr>
            <w:tcW w:w="7112" w:type="dxa"/>
            <w:tcBorders>
              <w:top w:val="single" w:sz="4" w:space="0" w:color="auto"/>
              <w:left w:val="nil"/>
              <w:bottom w:val="nil"/>
              <w:right w:val="single" w:sz="8" w:space="0" w:color="auto"/>
            </w:tcBorders>
            <w:shd w:val="clear" w:color="auto" w:fill="auto"/>
            <w:noWrap/>
            <w:vAlign w:val="bottom"/>
            <w:hideMark/>
          </w:tcPr>
          <w:p w:rsidR="00747999" w:rsidRPr="005E22B5" w:rsidRDefault="00747999" w:rsidP="00747999">
            <w:pPr>
              <w:rPr>
                <w:color w:val="000000"/>
              </w:rPr>
            </w:pPr>
            <w:r>
              <w:rPr>
                <w:color w:val="000000"/>
              </w:rPr>
              <w:t>Increase commerci</w:t>
            </w:r>
            <w:r w:rsidRPr="005E22B5">
              <w:rPr>
                <w:color w:val="000000"/>
              </w:rPr>
              <w:t xml:space="preserve">al ACL from 309,000 to 780,020 lbs </w:t>
            </w:r>
            <w:proofErr w:type="spellStart"/>
            <w:r w:rsidRPr="005E22B5">
              <w:rPr>
                <w:color w:val="000000"/>
              </w:rPr>
              <w:t>ww</w:t>
            </w:r>
            <w:proofErr w:type="spellEnd"/>
          </w:p>
        </w:tc>
      </w:tr>
      <w:tr w:rsidR="00747999" w:rsidRPr="005E22B5" w:rsidTr="00747999">
        <w:trPr>
          <w:trHeight w:val="72"/>
        </w:trPr>
        <w:tc>
          <w:tcPr>
            <w:tcW w:w="1095" w:type="dxa"/>
            <w:tcBorders>
              <w:top w:val="nil"/>
              <w:left w:val="single" w:sz="8" w:space="0" w:color="auto"/>
              <w:bottom w:val="single" w:sz="4" w:space="0" w:color="auto"/>
              <w:right w:val="nil"/>
            </w:tcBorders>
            <w:shd w:val="clear" w:color="auto" w:fill="auto"/>
            <w:noWrap/>
            <w:vAlign w:val="bottom"/>
            <w:hideMark/>
          </w:tcPr>
          <w:p w:rsidR="00747999" w:rsidRPr="005E22B5" w:rsidRDefault="00747999" w:rsidP="00747999">
            <w:pPr>
              <w:jc w:val="right"/>
              <w:rPr>
                <w:color w:val="000000"/>
              </w:rPr>
            </w:pPr>
            <w:r w:rsidRPr="005E22B5">
              <w:rPr>
                <w:color w:val="000000"/>
              </w:rPr>
              <w:t>10/23/13</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747999" w:rsidRPr="005E22B5" w:rsidRDefault="00747999" w:rsidP="00747999">
            <w:pPr>
              <w:rPr>
                <w:color w:val="000000"/>
              </w:rPr>
            </w:pPr>
            <w:proofErr w:type="spellStart"/>
            <w:r w:rsidRPr="005E22B5">
              <w:rPr>
                <w:color w:val="000000"/>
              </w:rPr>
              <w:t>Reg</w:t>
            </w:r>
            <w:proofErr w:type="spellEnd"/>
            <w:r w:rsidRPr="005E22B5">
              <w:rPr>
                <w:color w:val="000000"/>
              </w:rPr>
              <w:t xml:space="preserve"> Amend 19</w:t>
            </w:r>
          </w:p>
        </w:tc>
        <w:tc>
          <w:tcPr>
            <w:tcW w:w="7112" w:type="dxa"/>
            <w:tcBorders>
              <w:top w:val="nil"/>
              <w:left w:val="nil"/>
              <w:bottom w:val="single" w:sz="4" w:space="0" w:color="auto"/>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Pot closure from 11/1 through 4/30</w:t>
            </w:r>
          </w:p>
        </w:tc>
      </w:tr>
      <w:tr w:rsidR="00747999" w:rsidRPr="005E22B5" w:rsidTr="00747999">
        <w:trPr>
          <w:trHeight w:val="59"/>
        </w:trPr>
        <w:tc>
          <w:tcPr>
            <w:tcW w:w="1095" w:type="dxa"/>
            <w:tcBorders>
              <w:top w:val="nil"/>
              <w:left w:val="single" w:sz="8" w:space="0" w:color="auto"/>
              <w:bottom w:val="nil"/>
              <w:right w:val="nil"/>
            </w:tcBorders>
            <w:shd w:val="clear" w:color="auto" w:fill="auto"/>
            <w:noWrap/>
            <w:vAlign w:val="bottom"/>
            <w:hideMark/>
          </w:tcPr>
          <w:p w:rsidR="00747999" w:rsidRPr="005E22B5" w:rsidRDefault="00747999" w:rsidP="00747999">
            <w:pPr>
              <w:jc w:val="right"/>
              <w:rPr>
                <w:color w:val="000000"/>
              </w:rPr>
            </w:pPr>
            <w:r w:rsidRPr="005E22B5">
              <w:rPr>
                <w:color w:val="000000"/>
              </w:rPr>
              <w:t>12/8/14</w:t>
            </w:r>
          </w:p>
        </w:tc>
        <w:tc>
          <w:tcPr>
            <w:tcW w:w="1890" w:type="dxa"/>
            <w:tcBorders>
              <w:top w:val="nil"/>
              <w:left w:val="single" w:sz="4" w:space="0" w:color="auto"/>
              <w:bottom w:val="nil"/>
              <w:right w:val="single" w:sz="4" w:space="0" w:color="auto"/>
            </w:tcBorders>
            <w:shd w:val="clear" w:color="auto" w:fill="auto"/>
            <w:noWrap/>
            <w:vAlign w:val="bottom"/>
            <w:hideMark/>
          </w:tcPr>
          <w:p w:rsidR="00747999" w:rsidRPr="005E22B5" w:rsidRDefault="00747999" w:rsidP="00747999">
            <w:pPr>
              <w:rPr>
                <w:color w:val="000000"/>
              </w:rPr>
            </w:pPr>
            <w:proofErr w:type="spellStart"/>
            <w:r w:rsidRPr="005E22B5">
              <w:rPr>
                <w:color w:val="000000"/>
              </w:rPr>
              <w:t>Reg</w:t>
            </w:r>
            <w:proofErr w:type="spellEnd"/>
            <w:r w:rsidRPr="005E22B5">
              <w:rPr>
                <w:color w:val="000000"/>
              </w:rPr>
              <w:t xml:space="preserve"> Amend 14</w:t>
            </w:r>
          </w:p>
        </w:tc>
        <w:tc>
          <w:tcPr>
            <w:tcW w:w="7112" w:type="dxa"/>
            <w:tcBorders>
              <w:top w:val="nil"/>
              <w:left w:val="nil"/>
              <w:bottom w:val="nil"/>
              <w:right w:val="single" w:sz="8" w:space="0" w:color="auto"/>
            </w:tcBorders>
            <w:shd w:val="clear" w:color="auto" w:fill="auto"/>
            <w:noWrap/>
            <w:vAlign w:val="bottom"/>
            <w:hideMark/>
          </w:tcPr>
          <w:p w:rsidR="00747999" w:rsidRPr="005E22B5" w:rsidRDefault="00747999" w:rsidP="00747999">
            <w:pPr>
              <w:rPr>
                <w:color w:val="000000"/>
              </w:rPr>
            </w:pPr>
            <w:r>
              <w:rPr>
                <w:color w:val="000000"/>
              </w:rPr>
              <w:t>Commer</w:t>
            </w:r>
            <w:r w:rsidRPr="005E22B5">
              <w:rPr>
                <w:color w:val="000000"/>
              </w:rPr>
              <w:t>cial fishing year changed to January - December</w:t>
            </w:r>
          </w:p>
        </w:tc>
      </w:tr>
      <w:tr w:rsidR="00747999" w:rsidRPr="005E22B5" w:rsidTr="00747999">
        <w:trPr>
          <w:trHeight w:val="135"/>
        </w:trPr>
        <w:tc>
          <w:tcPr>
            <w:tcW w:w="1095" w:type="dxa"/>
            <w:tcBorders>
              <w:top w:val="nil"/>
              <w:left w:val="single" w:sz="8" w:space="0" w:color="auto"/>
              <w:bottom w:val="single" w:sz="8" w:space="0" w:color="auto"/>
              <w:right w:val="nil"/>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1890" w:type="dxa"/>
            <w:tcBorders>
              <w:top w:val="nil"/>
              <w:left w:val="single" w:sz="4" w:space="0" w:color="auto"/>
              <w:bottom w:val="single" w:sz="8" w:space="0" w:color="auto"/>
              <w:right w:val="single" w:sz="4" w:space="0" w:color="auto"/>
            </w:tcBorders>
            <w:shd w:val="clear" w:color="auto" w:fill="auto"/>
            <w:noWrap/>
            <w:vAlign w:val="bottom"/>
            <w:hideMark/>
          </w:tcPr>
          <w:p w:rsidR="00747999" w:rsidRPr="005E22B5" w:rsidRDefault="00747999" w:rsidP="00747999">
            <w:pPr>
              <w:rPr>
                <w:color w:val="000000"/>
              </w:rPr>
            </w:pPr>
            <w:r w:rsidRPr="005E22B5">
              <w:rPr>
                <w:color w:val="000000"/>
              </w:rPr>
              <w:t> </w:t>
            </w:r>
          </w:p>
        </w:tc>
        <w:tc>
          <w:tcPr>
            <w:tcW w:w="7112" w:type="dxa"/>
            <w:tcBorders>
              <w:top w:val="nil"/>
              <w:left w:val="nil"/>
              <w:bottom w:val="single" w:sz="8" w:space="0" w:color="auto"/>
              <w:right w:val="single" w:sz="8" w:space="0" w:color="auto"/>
            </w:tcBorders>
            <w:shd w:val="clear" w:color="auto" w:fill="auto"/>
            <w:noWrap/>
            <w:vAlign w:val="bottom"/>
            <w:hideMark/>
          </w:tcPr>
          <w:p w:rsidR="00747999" w:rsidRPr="005E22B5" w:rsidRDefault="00747999" w:rsidP="00747999">
            <w:pPr>
              <w:rPr>
                <w:color w:val="000000"/>
              </w:rPr>
            </w:pPr>
            <w:r w:rsidRPr="005E22B5">
              <w:rPr>
                <w:color w:val="000000"/>
              </w:rPr>
              <w:t xml:space="preserve">Hook and line trip limit is 300 lbs </w:t>
            </w:r>
            <w:proofErr w:type="spellStart"/>
            <w:r w:rsidRPr="005E22B5">
              <w:rPr>
                <w:color w:val="000000"/>
              </w:rPr>
              <w:t>gw</w:t>
            </w:r>
            <w:proofErr w:type="spellEnd"/>
            <w:r w:rsidRPr="005E22B5">
              <w:rPr>
                <w:color w:val="000000"/>
              </w:rPr>
              <w:t xml:space="preserve"> November 1 - April 30</w:t>
            </w:r>
          </w:p>
        </w:tc>
      </w:tr>
    </w:tbl>
    <w:p w:rsidR="004740EB" w:rsidRDefault="004740EB" w:rsidP="00506523">
      <w:pPr>
        <w:spacing w:line="276" w:lineRule="auto"/>
        <w:outlineLvl w:val="0"/>
        <w:rPr>
          <w:szCs w:val="24"/>
        </w:rPr>
      </w:pPr>
    </w:p>
    <w:p w:rsidR="002942C9" w:rsidRDefault="002942C9" w:rsidP="00891F13">
      <w:pPr>
        <w:outlineLvl w:val="0"/>
        <w:rPr>
          <w:szCs w:val="24"/>
        </w:rPr>
      </w:pPr>
      <w:r>
        <w:rPr>
          <w:szCs w:val="24"/>
        </w:rPr>
        <w:t>Snapper Grouper Amendment 13c in 2006 greatly stepped down the commercial ACL for black sea bass, the majority of which is taken in the pot fishery.  Two additional amendments, 18a and Regulatory Amendment 19 further affected commercial fishing for black sea bass, but in very different ways.</w:t>
      </w:r>
    </w:p>
    <w:p w:rsidR="002942C9" w:rsidRDefault="002942C9" w:rsidP="00891F13">
      <w:pPr>
        <w:outlineLvl w:val="0"/>
        <w:rPr>
          <w:szCs w:val="24"/>
        </w:rPr>
      </w:pPr>
    </w:p>
    <w:p w:rsidR="002942C9" w:rsidRDefault="002942C9" w:rsidP="00891F13">
      <w:pPr>
        <w:outlineLvl w:val="0"/>
        <w:rPr>
          <w:szCs w:val="24"/>
        </w:rPr>
      </w:pPr>
      <w:r>
        <w:rPr>
          <w:szCs w:val="24"/>
        </w:rPr>
        <w:t>Amendment 18a saw the implementation of required endorsements</w:t>
      </w:r>
      <w:r w:rsidR="00C21776">
        <w:rPr>
          <w:szCs w:val="24"/>
        </w:rPr>
        <w:t xml:space="preserve"> to participate in the fishery.  Thirty-two endorsements were issued.  For the first time, there was a commercial trip limit of 1,000 lbs </w:t>
      </w:r>
      <w:proofErr w:type="spellStart"/>
      <w:proofErr w:type="gramStart"/>
      <w:r w:rsidR="00485A1B">
        <w:rPr>
          <w:szCs w:val="24"/>
        </w:rPr>
        <w:t>gw</w:t>
      </w:r>
      <w:proofErr w:type="spellEnd"/>
      <w:proofErr w:type="gramEnd"/>
      <w:r w:rsidR="00485A1B">
        <w:rPr>
          <w:szCs w:val="24"/>
        </w:rPr>
        <w:t xml:space="preserve"> (1,180 lbs </w:t>
      </w:r>
      <w:proofErr w:type="spellStart"/>
      <w:r w:rsidR="00485A1B">
        <w:rPr>
          <w:szCs w:val="24"/>
        </w:rPr>
        <w:t>ww</w:t>
      </w:r>
      <w:proofErr w:type="spellEnd"/>
      <w:r w:rsidR="00485A1B">
        <w:rPr>
          <w:szCs w:val="24"/>
        </w:rPr>
        <w:t xml:space="preserve">) </w:t>
      </w:r>
      <w:r w:rsidR="00C21776">
        <w:rPr>
          <w:szCs w:val="24"/>
        </w:rPr>
        <w:t>for the pot fishery.  Participants in the fishery were limited to no more than 35 pots</w:t>
      </w:r>
      <w:r w:rsidR="0014376E">
        <w:rPr>
          <w:szCs w:val="24"/>
        </w:rPr>
        <w:t xml:space="preserve"> per vessel</w:t>
      </w:r>
      <w:r w:rsidR="00C21776">
        <w:rPr>
          <w:szCs w:val="24"/>
        </w:rPr>
        <w:t>, whereas some were fis</w:t>
      </w:r>
      <w:r w:rsidR="0014376E">
        <w:rPr>
          <w:szCs w:val="24"/>
        </w:rPr>
        <w:t>hing as many as 150 pots.  L</w:t>
      </w:r>
      <w:r w:rsidR="00C21776">
        <w:rPr>
          <w:szCs w:val="24"/>
        </w:rPr>
        <w:t>eaving black sea bass pots to</w:t>
      </w:r>
      <w:r w:rsidR="0014376E">
        <w:rPr>
          <w:szCs w:val="24"/>
        </w:rPr>
        <w:t xml:space="preserve"> soak unattended was </w:t>
      </w:r>
      <w:r w:rsidR="00C112AF">
        <w:rPr>
          <w:szCs w:val="24"/>
        </w:rPr>
        <w:t>prohibited,</w:t>
      </w:r>
      <w:r w:rsidR="0014376E">
        <w:rPr>
          <w:szCs w:val="24"/>
        </w:rPr>
        <w:t xml:space="preserve"> as</w:t>
      </w:r>
      <w:r w:rsidR="00C21776">
        <w:rPr>
          <w:szCs w:val="24"/>
        </w:rPr>
        <w:t xml:space="preserve"> pots were required to be brought back at the end of each trip.  The size limit for commercial black sea bass was also increased from 10 to 11 inches</w:t>
      </w:r>
      <w:r w:rsidR="00A2282D">
        <w:rPr>
          <w:szCs w:val="24"/>
        </w:rPr>
        <w:t xml:space="preserve"> total length</w:t>
      </w:r>
      <w:r w:rsidR="00C21776">
        <w:rPr>
          <w:szCs w:val="24"/>
        </w:rPr>
        <w:t>.</w:t>
      </w:r>
    </w:p>
    <w:p w:rsidR="00302E6E" w:rsidRDefault="00302E6E" w:rsidP="00891F13">
      <w:pPr>
        <w:outlineLvl w:val="0"/>
        <w:rPr>
          <w:szCs w:val="24"/>
        </w:rPr>
      </w:pPr>
    </w:p>
    <w:p w:rsidR="00302E6E" w:rsidRDefault="00302E6E" w:rsidP="00891F13">
      <w:pPr>
        <w:outlineLvl w:val="0"/>
        <w:rPr>
          <w:szCs w:val="24"/>
        </w:rPr>
      </w:pPr>
      <w:r>
        <w:rPr>
          <w:szCs w:val="24"/>
        </w:rPr>
        <w:lastRenderedPageBreak/>
        <w:t xml:space="preserve">While Amendment 18a generally limited participation and reduced gear presence in the water, Regulatory Amendment 19 increased the commercial ACL </w:t>
      </w:r>
      <w:r w:rsidR="00A2282D">
        <w:rPr>
          <w:szCs w:val="24"/>
        </w:rPr>
        <w:t>from 309,000</w:t>
      </w:r>
      <w:r>
        <w:rPr>
          <w:szCs w:val="24"/>
        </w:rPr>
        <w:t xml:space="preserve"> to 780,020 lbs </w:t>
      </w:r>
      <w:proofErr w:type="spellStart"/>
      <w:r>
        <w:rPr>
          <w:szCs w:val="24"/>
        </w:rPr>
        <w:t>ww</w:t>
      </w:r>
      <w:proofErr w:type="spellEnd"/>
      <w:r>
        <w:rPr>
          <w:szCs w:val="24"/>
        </w:rPr>
        <w:t>.  Because of the limitations put into place in Amendment 18a, the commercial black sea bass pot fishery is expected to last much longer than it has in recent years.</w:t>
      </w:r>
    </w:p>
    <w:p w:rsidR="002942C9" w:rsidRDefault="002942C9" w:rsidP="00891F13">
      <w:pPr>
        <w:outlineLvl w:val="0"/>
        <w:rPr>
          <w:szCs w:val="24"/>
        </w:rPr>
      </w:pPr>
    </w:p>
    <w:p w:rsidR="00747999" w:rsidRPr="006E2C51" w:rsidRDefault="00747999" w:rsidP="00891F13">
      <w:r>
        <w:t>All of these changes taken together create a management scenario that makes it difficult to predict how fishery participants will modify their behavior, and in turn, the economic effects in response to the alternatives proposed in this action.  Because of the uncertainty, multiple scenarios must be considered where appropriate when estimating economic effects of potential management changes.</w:t>
      </w:r>
    </w:p>
    <w:p w:rsidR="00747999" w:rsidRDefault="00747999" w:rsidP="00891F13">
      <w:pPr>
        <w:outlineLvl w:val="0"/>
        <w:rPr>
          <w:szCs w:val="24"/>
        </w:rPr>
      </w:pPr>
    </w:p>
    <w:p w:rsidR="002834DF" w:rsidRPr="00B4502A" w:rsidRDefault="002834DF" w:rsidP="002834DF">
      <w:pPr>
        <w:rPr>
          <w:b/>
          <w:sz w:val="36"/>
          <w:szCs w:val="36"/>
        </w:rPr>
      </w:pPr>
      <w:r>
        <w:rPr>
          <w:b/>
          <w:sz w:val="36"/>
          <w:szCs w:val="36"/>
        </w:rPr>
        <w:t xml:space="preserve">The Black Sea Bass Pot Sector </w:t>
      </w:r>
      <w:proofErr w:type="gramStart"/>
      <w:r>
        <w:rPr>
          <w:b/>
          <w:sz w:val="36"/>
          <w:szCs w:val="36"/>
        </w:rPr>
        <w:t>Since</w:t>
      </w:r>
      <w:proofErr w:type="gramEnd"/>
      <w:r>
        <w:rPr>
          <w:b/>
          <w:sz w:val="36"/>
          <w:szCs w:val="36"/>
        </w:rPr>
        <w:t xml:space="preserve"> the 2006 Biological Opinion</w:t>
      </w:r>
    </w:p>
    <w:p w:rsidR="002834DF" w:rsidRDefault="002834DF" w:rsidP="00891F13">
      <w:pPr>
        <w:outlineLvl w:val="0"/>
        <w:rPr>
          <w:szCs w:val="24"/>
        </w:rPr>
      </w:pPr>
    </w:p>
    <w:p w:rsidR="00302E6E" w:rsidRPr="0031378A" w:rsidRDefault="00302E6E" w:rsidP="00891F13">
      <w:pPr>
        <w:outlineLvl w:val="0"/>
        <w:rPr>
          <w:szCs w:val="24"/>
        </w:rPr>
      </w:pPr>
      <w:r>
        <w:rPr>
          <w:szCs w:val="24"/>
        </w:rPr>
        <w:t>This amendment</w:t>
      </w:r>
      <w:r w:rsidR="0031378A">
        <w:rPr>
          <w:szCs w:val="24"/>
        </w:rPr>
        <w:t>,</w:t>
      </w:r>
      <w:r>
        <w:rPr>
          <w:szCs w:val="24"/>
        </w:rPr>
        <w:t xml:space="preserve"> which considers alternatives allowing pot fishing during all or part of the </w:t>
      </w:r>
      <w:r w:rsidR="0031378A">
        <w:rPr>
          <w:szCs w:val="24"/>
        </w:rPr>
        <w:t xml:space="preserve">closed season, at least in some areas, </w:t>
      </w:r>
      <w:r>
        <w:rPr>
          <w:szCs w:val="24"/>
        </w:rPr>
        <w:t xml:space="preserve">is expected to </w:t>
      </w:r>
      <w:r w:rsidR="00F64F76">
        <w:rPr>
          <w:szCs w:val="24"/>
        </w:rPr>
        <w:t xml:space="preserve">result in </w:t>
      </w:r>
      <w:r w:rsidR="0031378A">
        <w:rPr>
          <w:szCs w:val="24"/>
        </w:rPr>
        <w:t xml:space="preserve">NMFS SERO Protected Resources </w:t>
      </w:r>
      <w:r w:rsidR="00F64F76">
        <w:rPr>
          <w:szCs w:val="24"/>
        </w:rPr>
        <w:t xml:space="preserve">beginning </w:t>
      </w:r>
      <w:r w:rsidR="0031378A">
        <w:rPr>
          <w:szCs w:val="24"/>
        </w:rPr>
        <w:t>development of a Biological Opinion (</w:t>
      </w:r>
      <w:proofErr w:type="spellStart"/>
      <w:r w:rsidR="0031378A">
        <w:rPr>
          <w:szCs w:val="24"/>
        </w:rPr>
        <w:t>BiOp</w:t>
      </w:r>
      <w:proofErr w:type="spellEnd"/>
      <w:r w:rsidR="0031378A">
        <w:rPr>
          <w:szCs w:val="24"/>
        </w:rPr>
        <w:t xml:space="preserve">) should the SAFMC choose any alternative other than </w:t>
      </w:r>
      <w:r w:rsidR="0031378A">
        <w:rPr>
          <w:b/>
          <w:szCs w:val="24"/>
        </w:rPr>
        <w:t>Alternative 1 (No Action)</w:t>
      </w:r>
      <w:r w:rsidR="00067780">
        <w:rPr>
          <w:b/>
          <w:szCs w:val="24"/>
        </w:rPr>
        <w:t xml:space="preserve"> </w:t>
      </w:r>
      <w:r w:rsidR="00067780" w:rsidRPr="0025689A">
        <w:rPr>
          <w:szCs w:val="24"/>
        </w:rPr>
        <w:t>for</w:t>
      </w:r>
      <w:r w:rsidR="00067780">
        <w:rPr>
          <w:b/>
          <w:szCs w:val="24"/>
        </w:rPr>
        <w:t xml:space="preserve"> Action 1</w:t>
      </w:r>
      <w:r w:rsidR="0031378A">
        <w:rPr>
          <w:szCs w:val="24"/>
        </w:rPr>
        <w:t xml:space="preserve">.  Until a new </w:t>
      </w:r>
      <w:proofErr w:type="spellStart"/>
      <w:r w:rsidR="0031378A">
        <w:rPr>
          <w:szCs w:val="24"/>
        </w:rPr>
        <w:t>BiOp</w:t>
      </w:r>
      <w:proofErr w:type="spellEnd"/>
      <w:r w:rsidR="0031378A">
        <w:rPr>
          <w:szCs w:val="24"/>
        </w:rPr>
        <w:t xml:space="preserve"> is in place, the previous </w:t>
      </w:r>
      <w:proofErr w:type="spellStart"/>
      <w:r w:rsidR="0031378A">
        <w:rPr>
          <w:szCs w:val="24"/>
        </w:rPr>
        <w:t>BiOp</w:t>
      </w:r>
      <w:proofErr w:type="spellEnd"/>
      <w:r w:rsidR="0031378A">
        <w:rPr>
          <w:szCs w:val="24"/>
        </w:rPr>
        <w:t xml:space="preserve"> from 2006 is considered current in the fishery.  However, it should be noted that any new </w:t>
      </w:r>
      <w:proofErr w:type="spellStart"/>
      <w:r w:rsidR="0031378A">
        <w:rPr>
          <w:szCs w:val="24"/>
        </w:rPr>
        <w:t>BiOp</w:t>
      </w:r>
      <w:proofErr w:type="spellEnd"/>
      <w:r w:rsidR="0031378A">
        <w:rPr>
          <w:szCs w:val="24"/>
        </w:rPr>
        <w:t xml:space="preserve"> that would be developed for this fishery </w:t>
      </w:r>
      <w:r w:rsidR="00E138CB">
        <w:rPr>
          <w:szCs w:val="24"/>
        </w:rPr>
        <w:t>would</w:t>
      </w:r>
      <w:r w:rsidR="0031378A">
        <w:rPr>
          <w:szCs w:val="24"/>
        </w:rPr>
        <w:t xml:space="preserve"> also take into account decisions made by the Atlantic Large Whale Take Reduction Plan.</w:t>
      </w:r>
    </w:p>
    <w:p w:rsidR="00302E6E" w:rsidRDefault="00302E6E" w:rsidP="00891F13">
      <w:pPr>
        <w:outlineLvl w:val="0"/>
        <w:rPr>
          <w:szCs w:val="24"/>
        </w:rPr>
      </w:pPr>
    </w:p>
    <w:p w:rsidR="00506523" w:rsidRDefault="0031378A" w:rsidP="00891F13">
      <w:pPr>
        <w:outlineLvl w:val="0"/>
        <w:rPr>
          <w:szCs w:val="24"/>
        </w:rPr>
      </w:pPr>
      <w:r>
        <w:rPr>
          <w:szCs w:val="24"/>
        </w:rPr>
        <w:t>As discussed, Amendment 18a and Regulatory Amendment 19</w:t>
      </w:r>
      <w:r w:rsidR="003D70DB">
        <w:rPr>
          <w:szCs w:val="24"/>
        </w:rPr>
        <w:t>, as well as other factors such as the general downturn in the economy,</w:t>
      </w:r>
      <w:r>
        <w:rPr>
          <w:szCs w:val="24"/>
        </w:rPr>
        <w:t xml:space="preserve"> </w:t>
      </w:r>
      <w:r w:rsidR="003D70DB">
        <w:rPr>
          <w:szCs w:val="24"/>
        </w:rPr>
        <w:t xml:space="preserve">greatly </w:t>
      </w:r>
      <w:r w:rsidR="00135EA7">
        <w:rPr>
          <w:szCs w:val="24"/>
        </w:rPr>
        <w:t xml:space="preserve">changed </w:t>
      </w:r>
      <w:r w:rsidR="003D70DB">
        <w:rPr>
          <w:szCs w:val="24"/>
        </w:rPr>
        <w:t xml:space="preserve">the black sea bass pot fishery </w:t>
      </w:r>
      <w:r w:rsidR="00135EA7">
        <w:rPr>
          <w:szCs w:val="24"/>
        </w:rPr>
        <w:t>since the 2006 Biological Opinion was published</w:t>
      </w:r>
      <w:r w:rsidR="00840237">
        <w:rPr>
          <w:szCs w:val="24"/>
        </w:rPr>
        <w:t xml:space="preserve"> following the Council’s development of Snapper Grouper Amendment 13c</w:t>
      </w:r>
      <w:r w:rsidR="00135EA7">
        <w:rPr>
          <w:szCs w:val="24"/>
        </w:rPr>
        <w:t>.</w:t>
      </w:r>
      <w:r w:rsidR="00840237">
        <w:rPr>
          <w:szCs w:val="24"/>
        </w:rPr>
        <w:t xml:space="preserve">  The 2006 </w:t>
      </w:r>
      <w:proofErr w:type="spellStart"/>
      <w:r w:rsidR="00840237">
        <w:rPr>
          <w:szCs w:val="24"/>
        </w:rPr>
        <w:t>BiOp</w:t>
      </w:r>
      <w:proofErr w:type="spellEnd"/>
      <w:r w:rsidR="00840237">
        <w:rPr>
          <w:szCs w:val="24"/>
        </w:rPr>
        <w:t xml:space="preserve"> assessed potential impacts from the snowy grouper, golden tilefish, vermilion snapper, red porgy</w:t>
      </w:r>
      <w:r w:rsidR="00585F5F">
        <w:rPr>
          <w:szCs w:val="24"/>
        </w:rPr>
        <w:t>,</w:t>
      </w:r>
      <w:r w:rsidR="00840237">
        <w:rPr>
          <w:szCs w:val="24"/>
        </w:rPr>
        <w:t xml:space="preserve"> and black sea bass fisheries.</w:t>
      </w:r>
    </w:p>
    <w:p w:rsidR="00840237" w:rsidRDefault="00840237" w:rsidP="00891F13">
      <w:pPr>
        <w:outlineLvl w:val="0"/>
        <w:rPr>
          <w:szCs w:val="24"/>
        </w:rPr>
      </w:pPr>
    </w:p>
    <w:p w:rsidR="00840237" w:rsidRDefault="003D70DB" w:rsidP="00891F13">
      <w:pPr>
        <w:outlineLvl w:val="0"/>
        <w:rPr>
          <w:szCs w:val="24"/>
        </w:rPr>
      </w:pPr>
      <w:r w:rsidRPr="003D70DB">
        <w:rPr>
          <w:b/>
          <w:szCs w:val="24"/>
        </w:rPr>
        <w:t>Table 2</w:t>
      </w:r>
      <w:r>
        <w:rPr>
          <w:szCs w:val="24"/>
        </w:rPr>
        <w:t xml:space="preserve"> shows a few of the characteristics of the black sea bass pot fishery.  As the 2006 </w:t>
      </w:r>
      <w:proofErr w:type="spellStart"/>
      <w:r>
        <w:rPr>
          <w:szCs w:val="24"/>
        </w:rPr>
        <w:t>BiOp</w:t>
      </w:r>
      <w:proofErr w:type="spellEnd"/>
      <w:r>
        <w:rPr>
          <w:szCs w:val="24"/>
        </w:rPr>
        <w:t xml:space="preserve"> went into effect on June 7</w:t>
      </w:r>
      <w:r w:rsidRPr="003D70DB">
        <w:rPr>
          <w:szCs w:val="24"/>
          <w:vertAlign w:val="superscript"/>
        </w:rPr>
        <w:t>th</w:t>
      </w:r>
      <w:r>
        <w:rPr>
          <w:szCs w:val="24"/>
        </w:rPr>
        <w:t xml:space="preserve"> of that year, the characteristics for 2006 are split for pre and post 2006 </w:t>
      </w:r>
      <w:proofErr w:type="spellStart"/>
      <w:r>
        <w:rPr>
          <w:szCs w:val="24"/>
        </w:rPr>
        <w:t>BiOp</w:t>
      </w:r>
      <w:proofErr w:type="spellEnd"/>
      <w:r>
        <w:rPr>
          <w:szCs w:val="24"/>
        </w:rPr>
        <w:t>.  While trips and pounds landed are additive</w:t>
      </w:r>
      <w:r w:rsidR="003E3C54">
        <w:rPr>
          <w:szCs w:val="24"/>
        </w:rPr>
        <w:t xml:space="preserve"> for 2006</w:t>
      </w:r>
      <w:r>
        <w:rPr>
          <w:szCs w:val="24"/>
        </w:rPr>
        <w:t xml:space="preserve">, the number of vessels participating in the fishery are not because many of the vessels that participated in the fishery in the first part of the year also participated in the second part of the fishing year.  Also, note that the effects of Amendment 18a and Regulatory Amendment 19 are not reflected in these </w:t>
      </w:r>
      <w:r w:rsidR="00E138CB">
        <w:rPr>
          <w:szCs w:val="24"/>
        </w:rPr>
        <w:t>landings,</w:t>
      </w:r>
      <w:r>
        <w:rPr>
          <w:szCs w:val="24"/>
        </w:rPr>
        <w:t xml:space="preserve"> as they were too recent in time to be reflected i</w:t>
      </w:r>
      <w:r w:rsidR="007105D1">
        <w:rPr>
          <w:szCs w:val="24"/>
        </w:rPr>
        <w:t xml:space="preserve">n the overall characteristics. </w:t>
      </w:r>
    </w:p>
    <w:p w:rsidR="007105D1" w:rsidRDefault="007105D1" w:rsidP="00891F13">
      <w:pPr>
        <w:outlineLvl w:val="0"/>
        <w:rPr>
          <w:szCs w:val="24"/>
        </w:rPr>
      </w:pPr>
    </w:p>
    <w:p w:rsidR="007105D1" w:rsidRDefault="007105D1" w:rsidP="00891F13">
      <w:pPr>
        <w:outlineLvl w:val="0"/>
        <w:rPr>
          <w:szCs w:val="24"/>
        </w:rPr>
      </w:pPr>
      <w:r>
        <w:rPr>
          <w:szCs w:val="24"/>
        </w:rPr>
        <w:t xml:space="preserve">Since the 2006 </w:t>
      </w:r>
      <w:proofErr w:type="spellStart"/>
      <w:r>
        <w:rPr>
          <w:szCs w:val="24"/>
        </w:rPr>
        <w:t>BiOp</w:t>
      </w:r>
      <w:proofErr w:type="spellEnd"/>
      <w:r>
        <w:rPr>
          <w:szCs w:val="24"/>
        </w:rPr>
        <w:t xml:space="preserve">, the average </w:t>
      </w:r>
      <w:r w:rsidR="00C112AF">
        <w:rPr>
          <w:szCs w:val="24"/>
        </w:rPr>
        <w:t xml:space="preserve">annual </w:t>
      </w:r>
      <w:r>
        <w:rPr>
          <w:szCs w:val="24"/>
        </w:rPr>
        <w:t xml:space="preserve">number of vessels participating in the black sea bass pot </w:t>
      </w:r>
      <w:r w:rsidR="0071611E">
        <w:rPr>
          <w:szCs w:val="24"/>
        </w:rPr>
        <w:t xml:space="preserve">fishery has been reduced </w:t>
      </w:r>
      <w:r w:rsidR="00C112AF">
        <w:rPr>
          <w:szCs w:val="24"/>
        </w:rPr>
        <w:t>from 43 to 35</w:t>
      </w:r>
      <w:r w:rsidR="0071611E">
        <w:rPr>
          <w:szCs w:val="24"/>
        </w:rPr>
        <w:t xml:space="preserve"> </w:t>
      </w:r>
      <w:r w:rsidR="00C112AF">
        <w:rPr>
          <w:szCs w:val="24"/>
        </w:rPr>
        <w:t>(</w:t>
      </w:r>
      <w:r w:rsidR="0071611E">
        <w:rPr>
          <w:szCs w:val="24"/>
        </w:rPr>
        <w:t>19%</w:t>
      </w:r>
      <w:r w:rsidR="00C112AF">
        <w:rPr>
          <w:szCs w:val="24"/>
        </w:rPr>
        <w:t>)</w:t>
      </w:r>
      <w:r w:rsidR="0071611E">
        <w:rPr>
          <w:szCs w:val="24"/>
        </w:rPr>
        <w:t xml:space="preserve"> and the</w:t>
      </w:r>
      <w:r>
        <w:rPr>
          <w:szCs w:val="24"/>
        </w:rPr>
        <w:t xml:space="preserve"> average number of trips has been reduced </w:t>
      </w:r>
      <w:r w:rsidR="00C112AF">
        <w:rPr>
          <w:szCs w:val="24"/>
        </w:rPr>
        <w:t>from 675 to 393</w:t>
      </w:r>
      <w:r w:rsidR="0071611E">
        <w:rPr>
          <w:szCs w:val="24"/>
        </w:rPr>
        <w:t xml:space="preserve"> </w:t>
      </w:r>
      <w:r w:rsidR="00C112AF">
        <w:rPr>
          <w:szCs w:val="24"/>
        </w:rPr>
        <w:t>(</w:t>
      </w:r>
      <w:r>
        <w:rPr>
          <w:szCs w:val="24"/>
        </w:rPr>
        <w:t>42%</w:t>
      </w:r>
      <w:r w:rsidR="00C112AF">
        <w:rPr>
          <w:szCs w:val="24"/>
        </w:rPr>
        <w:t>)</w:t>
      </w:r>
      <w:r w:rsidR="0071611E">
        <w:rPr>
          <w:szCs w:val="24"/>
        </w:rPr>
        <w:t>.</w:t>
      </w:r>
      <w:r w:rsidR="00C112AF">
        <w:rPr>
          <w:szCs w:val="24"/>
        </w:rPr>
        <w:t xml:space="preserve">  The changes were due largely to Amendment 13c </w:t>
      </w:r>
      <w:r w:rsidR="003E3C54">
        <w:rPr>
          <w:szCs w:val="24"/>
        </w:rPr>
        <w:t>that</w:t>
      </w:r>
      <w:r w:rsidR="00C112AF">
        <w:rPr>
          <w:szCs w:val="24"/>
        </w:rPr>
        <w:t xml:space="preserve"> reduced the overall ACL for black sea bass.</w:t>
      </w:r>
    </w:p>
    <w:p w:rsidR="00840237" w:rsidRDefault="00840237" w:rsidP="00891F13">
      <w:pPr>
        <w:outlineLvl w:val="0"/>
        <w:rPr>
          <w:szCs w:val="24"/>
        </w:rPr>
      </w:pPr>
    </w:p>
    <w:p w:rsidR="002834DF" w:rsidRDefault="002834DF" w:rsidP="00891F13">
      <w:pPr>
        <w:outlineLvl w:val="0"/>
        <w:rPr>
          <w:szCs w:val="24"/>
        </w:rPr>
      </w:pPr>
    </w:p>
    <w:p w:rsidR="00EB6AD2" w:rsidRDefault="00EB6AD2" w:rsidP="00891F13">
      <w:pPr>
        <w:outlineLvl w:val="0"/>
        <w:rPr>
          <w:szCs w:val="24"/>
        </w:rPr>
      </w:pPr>
    </w:p>
    <w:p w:rsidR="00EB6AD2" w:rsidRDefault="00EB6AD2" w:rsidP="00891F13">
      <w:pPr>
        <w:outlineLvl w:val="0"/>
        <w:rPr>
          <w:szCs w:val="24"/>
        </w:rPr>
      </w:pPr>
    </w:p>
    <w:p w:rsidR="0071611E" w:rsidRPr="0071611E" w:rsidRDefault="0071611E" w:rsidP="00506523">
      <w:pPr>
        <w:spacing w:line="276" w:lineRule="auto"/>
        <w:outlineLvl w:val="0"/>
        <w:rPr>
          <w:szCs w:val="24"/>
        </w:rPr>
      </w:pPr>
      <w:proofErr w:type="gramStart"/>
      <w:r>
        <w:rPr>
          <w:b/>
          <w:szCs w:val="24"/>
        </w:rPr>
        <w:lastRenderedPageBreak/>
        <w:t>Table 2</w:t>
      </w:r>
      <w:r>
        <w:rPr>
          <w:szCs w:val="24"/>
        </w:rPr>
        <w:t>.</w:t>
      </w:r>
      <w:proofErr w:type="gramEnd"/>
      <w:r>
        <w:rPr>
          <w:szCs w:val="24"/>
        </w:rPr>
        <w:t xml:space="preserve"> Black sea bass pot fishery characteristics, 2002 through 2012.</w:t>
      </w:r>
    </w:p>
    <w:tbl>
      <w:tblPr>
        <w:tblW w:w="5000" w:type="pct"/>
        <w:tblLook w:val="04A0"/>
      </w:tblPr>
      <w:tblGrid>
        <w:gridCol w:w="1747"/>
        <w:gridCol w:w="2501"/>
        <w:gridCol w:w="1469"/>
        <w:gridCol w:w="1120"/>
        <w:gridCol w:w="2739"/>
      </w:tblGrid>
      <w:tr w:rsidR="002834DF" w:rsidTr="002834DF">
        <w:trPr>
          <w:trHeight w:val="300"/>
        </w:trPr>
        <w:tc>
          <w:tcPr>
            <w:tcW w:w="912" w:type="pct"/>
            <w:tcBorders>
              <w:top w:val="single" w:sz="4" w:space="0" w:color="auto"/>
              <w:left w:val="single" w:sz="4" w:space="0" w:color="auto"/>
              <w:bottom w:val="single" w:sz="4" w:space="0" w:color="auto"/>
              <w:right w:val="nil"/>
            </w:tcBorders>
            <w:shd w:val="clear" w:color="000000" w:fill="DCE6F1"/>
            <w:noWrap/>
            <w:vAlign w:val="bottom"/>
            <w:hideMark/>
          </w:tcPr>
          <w:p w:rsidR="002834DF" w:rsidRDefault="002834DF" w:rsidP="002834DF">
            <w:pPr>
              <w:rPr>
                <w:rFonts w:ascii="Calibri" w:hAnsi="Calibri"/>
                <w:color w:val="000000"/>
              </w:rPr>
            </w:pPr>
            <w:r>
              <w:rPr>
                <w:rFonts w:ascii="Calibri" w:hAnsi="Calibri"/>
                <w:color w:val="000000"/>
                <w:sz w:val="22"/>
              </w:rPr>
              <w:t> </w:t>
            </w:r>
          </w:p>
        </w:tc>
        <w:tc>
          <w:tcPr>
            <w:tcW w:w="1306" w:type="pct"/>
            <w:tcBorders>
              <w:top w:val="single" w:sz="4" w:space="0" w:color="auto"/>
              <w:left w:val="nil"/>
              <w:bottom w:val="single" w:sz="4" w:space="0" w:color="auto"/>
              <w:right w:val="nil"/>
            </w:tcBorders>
            <w:shd w:val="clear" w:color="000000" w:fill="DCE6F1"/>
            <w:noWrap/>
            <w:vAlign w:val="bottom"/>
            <w:hideMark/>
          </w:tcPr>
          <w:p w:rsidR="002834DF" w:rsidRDefault="002834DF" w:rsidP="002834DF">
            <w:pPr>
              <w:rPr>
                <w:rFonts w:ascii="Calibri" w:hAnsi="Calibri"/>
                <w:color w:val="000000"/>
              </w:rPr>
            </w:pPr>
            <w:r>
              <w:rPr>
                <w:rFonts w:ascii="Calibri" w:hAnsi="Calibri"/>
                <w:color w:val="000000"/>
                <w:sz w:val="22"/>
              </w:rPr>
              <w:t>Fishing Year</w:t>
            </w:r>
          </w:p>
        </w:tc>
        <w:tc>
          <w:tcPr>
            <w:tcW w:w="767" w:type="pct"/>
            <w:tcBorders>
              <w:top w:val="single" w:sz="4" w:space="0" w:color="auto"/>
              <w:left w:val="nil"/>
              <w:bottom w:val="single" w:sz="4" w:space="0" w:color="auto"/>
              <w:right w:val="nil"/>
            </w:tcBorders>
            <w:shd w:val="clear" w:color="000000" w:fill="DCE6F1"/>
            <w:noWrap/>
            <w:vAlign w:val="bottom"/>
            <w:hideMark/>
          </w:tcPr>
          <w:p w:rsidR="002834DF" w:rsidRDefault="002834DF" w:rsidP="002834DF">
            <w:pPr>
              <w:jc w:val="center"/>
              <w:rPr>
                <w:rFonts w:ascii="Calibri" w:hAnsi="Calibri"/>
                <w:color w:val="000000"/>
              </w:rPr>
            </w:pPr>
            <w:r>
              <w:rPr>
                <w:rFonts w:ascii="Calibri" w:hAnsi="Calibri"/>
                <w:color w:val="000000"/>
                <w:sz w:val="22"/>
              </w:rPr>
              <w:t>Vessels</w:t>
            </w:r>
          </w:p>
        </w:tc>
        <w:tc>
          <w:tcPr>
            <w:tcW w:w="585" w:type="pct"/>
            <w:tcBorders>
              <w:top w:val="single" w:sz="4" w:space="0" w:color="auto"/>
              <w:left w:val="nil"/>
              <w:bottom w:val="single" w:sz="4" w:space="0" w:color="auto"/>
              <w:right w:val="nil"/>
            </w:tcBorders>
            <w:shd w:val="clear" w:color="000000" w:fill="DCE6F1"/>
            <w:noWrap/>
            <w:vAlign w:val="bottom"/>
            <w:hideMark/>
          </w:tcPr>
          <w:p w:rsidR="002834DF" w:rsidRDefault="002834DF" w:rsidP="002834DF">
            <w:pPr>
              <w:jc w:val="center"/>
              <w:rPr>
                <w:rFonts w:ascii="Calibri" w:hAnsi="Calibri"/>
                <w:color w:val="000000"/>
              </w:rPr>
            </w:pPr>
            <w:r>
              <w:rPr>
                <w:rFonts w:ascii="Calibri" w:hAnsi="Calibri"/>
                <w:color w:val="000000"/>
                <w:sz w:val="22"/>
              </w:rPr>
              <w:t>Trips</w:t>
            </w:r>
          </w:p>
        </w:tc>
        <w:tc>
          <w:tcPr>
            <w:tcW w:w="1430" w:type="pct"/>
            <w:tcBorders>
              <w:top w:val="single" w:sz="4" w:space="0" w:color="auto"/>
              <w:left w:val="nil"/>
              <w:bottom w:val="single" w:sz="4" w:space="0" w:color="auto"/>
              <w:right w:val="single" w:sz="4" w:space="0" w:color="auto"/>
            </w:tcBorders>
            <w:shd w:val="clear" w:color="000000" w:fill="DCE6F1"/>
            <w:noWrap/>
            <w:vAlign w:val="bottom"/>
            <w:hideMark/>
          </w:tcPr>
          <w:p w:rsidR="002834DF" w:rsidRDefault="002834DF" w:rsidP="002834DF">
            <w:pPr>
              <w:jc w:val="center"/>
              <w:rPr>
                <w:rFonts w:ascii="Calibri" w:hAnsi="Calibri"/>
                <w:color w:val="000000"/>
              </w:rPr>
            </w:pPr>
            <w:r>
              <w:rPr>
                <w:rFonts w:ascii="Calibri" w:hAnsi="Calibri"/>
                <w:color w:val="000000"/>
                <w:sz w:val="22"/>
              </w:rPr>
              <w:t xml:space="preserve">Landings (lb </w:t>
            </w:r>
            <w:proofErr w:type="spellStart"/>
            <w:r>
              <w:rPr>
                <w:rFonts w:ascii="Calibri" w:hAnsi="Calibri"/>
                <w:color w:val="000000"/>
                <w:sz w:val="22"/>
              </w:rPr>
              <w:t>gw</w:t>
            </w:r>
            <w:proofErr w:type="spellEnd"/>
            <w:r>
              <w:rPr>
                <w:rFonts w:ascii="Calibri" w:hAnsi="Calibri"/>
                <w:color w:val="000000"/>
                <w:sz w:val="22"/>
              </w:rPr>
              <w:t>)</w:t>
            </w:r>
          </w:p>
        </w:tc>
      </w:tr>
      <w:tr w:rsidR="002834DF" w:rsidTr="002834DF">
        <w:trPr>
          <w:trHeight w:val="300"/>
        </w:trPr>
        <w:tc>
          <w:tcPr>
            <w:tcW w:w="912" w:type="pct"/>
            <w:vMerge w:val="restart"/>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r>
              <w:rPr>
                <w:rFonts w:ascii="Calibri" w:hAnsi="Calibri"/>
                <w:color w:val="000000"/>
                <w:sz w:val="22"/>
              </w:rPr>
              <w:t xml:space="preserve">Pre-2006 </w:t>
            </w:r>
            <w:proofErr w:type="spellStart"/>
            <w:r>
              <w:rPr>
                <w:rFonts w:ascii="Calibri" w:hAnsi="Calibri"/>
                <w:color w:val="000000"/>
                <w:sz w:val="22"/>
              </w:rPr>
              <w:t>BiOp</w:t>
            </w:r>
            <w:proofErr w:type="spellEnd"/>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1996-1997</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86</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1276</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609,424</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1997-1998</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77</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1258</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525,920</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1998-1999</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70</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1277</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633,987</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1999-2000</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64</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808</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344,906</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2000-2001</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61</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903</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430,008</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2001-2002</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58</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1082</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423,902</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2002-2003</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48</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693</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308,005</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2003-2004</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52</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878</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591,403</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2004-2005</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47</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732</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458,264</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single" w:sz="4" w:space="0" w:color="auto"/>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2005-2006</w:t>
            </w:r>
          </w:p>
        </w:tc>
        <w:tc>
          <w:tcPr>
            <w:tcW w:w="767" w:type="pct"/>
            <w:tcBorders>
              <w:top w:val="nil"/>
              <w:left w:val="nil"/>
              <w:bottom w:val="single" w:sz="4" w:space="0" w:color="auto"/>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47</w:t>
            </w:r>
          </w:p>
        </w:tc>
        <w:tc>
          <w:tcPr>
            <w:tcW w:w="585" w:type="pct"/>
            <w:tcBorders>
              <w:top w:val="nil"/>
              <w:left w:val="nil"/>
              <w:bottom w:val="single" w:sz="4" w:space="0" w:color="auto"/>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658</w:t>
            </w:r>
          </w:p>
        </w:tc>
        <w:tc>
          <w:tcPr>
            <w:tcW w:w="1430" w:type="pct"/>
            <w:tcBorders>
              <w:top w:val="nil"/>
              <w:left w:val="nil"/>
              <w:bottom w:val="single" w:sz="4" w:space="0" w:color="auto"/>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298,782</w:t>
            </w:r>
          </w:p>
        </w:tc>
      </w:tr>
      <w:tr w:rsidR="002834DF" w:rsidTr="002834DF">
        <w:trPr>
          <w:trHeight w:val="300"/>
        </w:trPr>
        <w:tc>
          <w:tcPr>
            <w:tcW w:w="912" w:type="pct"/>
            <w:tcBorders>
              <w:top w:val="single" w:sz="4" w:space="0" w:color="000000"/>
              <w:left w:val="single" w:sz="4" w:space="0" w:color="auto"/>
              <w:bottom w:val="single" w:sz="4" w:space="0" w:color="auto"/>
              <w:right w:val="single" w:sz="4" w:space="0" w:color="auto"/>
            </w:tcBorders>
            <w:shd w:val="clear" w:color="auto" w:fill="auto"/>
            <w:vAlign w:val="center"/>
            <w:hideMark/>
          </w:tcPr>
          <w:p w:rsidR="002834DF" w:rsidRDefault="002834DF" w:rsidP="002834DF">
            <w:pPr>
              <w:rPr>
                <w:rFonts w:ascii="Calibri" w:hAnsi="Calibri"/>
                <w:color w:val="000000"/>
              </w:rPr>
            </w:pPr>
            <w:r>
              <w:rPr>
                <w:rFonts w:ascii="Calibri" w:hAnsi="Calibri"/>
                <w:color w:val="000000"/>
                <w:sz w:val="22"/>
              </w:rPr>
              <w:t> </w:t>
            </w: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2006-2007</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55</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739</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409,162</w:t>
            </w:r>
          </w:p>
        </w:tc>
      </w:tr>
      <w:tr w:rsidR="002834DF" w:rsidTr="002834DF">
        <w:trPr>
          <w:trHeight w:val="300"/>
        </w:trPr>
        <w:tc>
          <w:tcPr>
            <w:tcW w:w="9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34DF" w:rsidRDefault="002834DF" w:rsidP="002834DF">
            <w:pPr>
              <w:jc w:val="center"/>
              <w:rPr>
                <w:rFonts w:ascii="Calibri" w:hAnsi="Calibri"/>
                <w:color w:val="000000"/>
              </w:rPr>
            </w:pPr>
            <w:r>
              <w:rPr>
                <w:rFonts w:ascii="Calibri" w:hAnsi="Calibri"/>
                <w:color w:val="000000"/>
                <w:sz w:val="22"/>
              </w:rPr>
              <w:t xml:space="preserve">Post-2006 </w:t>
            </w:r>
            <w:proofErr w:type="spellStart"/>
            <w:r>
              <w:rPr>
                <w:rFonts w:ascii="Calibri" w:hAnsi="Calibri"/>
                <w:color w:val="000000"/>
                <w:sz w:val="22"/>
              </w:rPr>
              <w:t>BiOp</w:t>
            </w:r>
            <w:proofErr w:type="spellEnd"/>
          </w:p>
        </w:tc>
        <w:tc>
          <w:tcPr>
            <w:tcW w:w="1306" w:type="pct"/>
            <w:tcBorders>
              <w:top w:val="single" w:sz="4" w:space="0" w:color="auto"/>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2007-2008</w:t>
            </w:r>
          </w:p>
        </w:tc>
        <w:tc>
          <w:tcPr>
            <w:tcW w:w="767" w:type="pct"/>
            <w:tcBorders>
              <w:top w:val="single" w:sz="4" w:space="0" w:color="auto"/>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49</w:t>
            </w:r>
          </w:p>
        </w:tc>
        <w:tc>
          <w:tcPr>
            <w:tcW w:w="585" w:type="pct"/>
            <w:tcBorders>
              <w:top w:val="single" w:sz="4" w:space="0" w:color="auto"/>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556</w:t>
            </w:r>
          </w:p>
        </w:tc>
        <w:tc>
          <w:tcPr>
            <w:tcW w:w="1430" w:type="pct"/>
            <w:tcBorders>
              <w:top w:val="single" w:sz="4" w:space="0" w:color="auto"/>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279,888</w:t>
            </w:r>
          </w:p>
        </w:tc>
      </w:tr>
      <w:tr w:rsidR="002834DF" w:rsidTr="002834DF">
        <w:trPr>
          <w:trHeight w:val="300"/>
        </w:trPr>
        <w:tc>
          <w:tcPr>
            <w:tcW w:w="912" w:type="pct"/>
            <w:vMerge/>
            <w:tcBorders>
              <w:top w:val="single" w:sz="4" w:space="0" w:color="auto"/>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2008-2009</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56</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562</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346,765</w:t>
            </w:r>
          </w:p>
        </w:tc>
      </w:tr>
      <w:tr w:rsidR="002834DF" w:rsidTr="002834DF">
        <w:trPr>
          <w:trHeight w:val="300"/>
        </w:trPr>
        <w:tc>
          <w:tcPr>
            <w:tcW w:w="912" w:type="pct"/>
            <w:vMerge/>
            <w:tcBorders>
              <w:top w:val="single" w:sz="4" w:space="0" w:color="auto"/>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2009-2010</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41</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434</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288,059</w:t>
            </w:r>
          </w:p>
        </w:tc>
      </w:tr>
      <w:tr w:rsidR="002834DF" w:rsidTr="002834DF">
        <w:trPr>
          <w:trHeight w:val="300"/>
        </w:trPr>
        <w:tc>
          <w:tcPr>
            <w:tcW w:w="912" w:type="pct"/>
            <w:vMerge/>
            <w:tcBorders>
              <w:top w:val="single" w:sz="4" w:space="0" w:color="auto"/>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2010-2011</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52</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406</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345,118</w:t>
            </w:r>
          </w:p>
        </w:tc>
      </w:tr>
      <w:tr w:rsidR="002834DF" w:rsidTr="002834DF">
        <w:trPr>
          <w:trHeight w:val="300"/>
        </w:trPr>
        <w:tc>
          <w:tcPr>
            <w:tcW w:w="912" w:type="pct"/>
            <w:vMerge/>
            <w:tcBorders>
              <w:top w:val="single" w:sz="4" w:space="0" w:color="auto"/>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2011-2012</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40</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235</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260,464</w:t>
            </w:r>
          </w:p>
        </w:tc>
      </w:tr>
      <w:tr w:rsidR="002834DF" w:rsidTr="002834DF">
        <w:trPr>
          <w:trHeight w:val="300"/>
        </w:trPr>
        <w:tc>
          <w:tcPr>
            <w:tcW w:w="912" w:type="pct"/>
            <w:vMerge/>
            <w:tcBorders>
              <w:top w:val="single" w:sz="4" w:space="0" w:color="auto"/>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2012-2013</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26</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322</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213,509</w:t>
            </w:r>
          </w:p>
        </w:tc>
      </w:tr>
      <w:tr w:rsidR="002834DF" w:rsidTr="002834DF">
        <w:trPr>
          <w:trHeight w:val="300"/>
        </w:trPr>
        <w:tc>
          <w:tcPr>
            <w:tcW w:w="912" w:type="pct"/>
            <w:vMerge/>
            <w:tcBorders>
              <w:top w:val="single" w:sz="4" w:space="0" w:color="auto"/>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single" w:sz="4" w:space="0" w:color="auto"/>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2013-2014</w:t>
            </w:r>
          </w:p>
        </w:tc>
        <w:tc>
          <w:tcPr>
            <w:tcW w:w="767" w:type="pct"/>
            <w:tcBorders>
              <w:top w:val="nil"/>
              <w:left w:val="nil"/>
              <w:bottom w:val="single" w:sz="4" w:space="0" w:color="auto"/>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27</w:t>
            </w:r>
          </w:p>
        </w:tc>
        <w:tc>
          <w:tcPr>
            <w:tcW w:w="585" w:type="pct"/>
            <w:tcBorders>
              <w:top w:val="nil"/>
              <w:left w:val="nil"/>
              <w:bottom w:val="single" w:sz="4" w:space="0" w:color="auto"/>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366</w:t>
            </w:r>
          </w:p>
        </w:tc>
        <w:tc>
          <w:tcPr>
            <w:tcW w:w="1430" w:type="pct"/>
            <w:tcBorders>
              <w:top w:val="nil"/>
              <w:left w:val="nil"/>
              <w:bottom w:val="single" w:sz="4" w:space="0" w:color="auto"/>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223,633</w:t>
            </w:r>
          </w:p>
        </w:tc>
      </w:tr>
      <w:tr w:rsidR="002834DF" w:rsidTr="002834DF">
        <w:trPr>
          <w:trHeight w:val="300"/>
        </w:trPr>
        <w:tc>
          <w:tcPr>
            <w:tcW w:w="9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834DF" w:rsidRDefault="002834DF" w:rsidP="002834DF">
            <w:pPr>
              <w:jc w:val="center"/>
              <w:rPr>
                <w:rFonts w:ascii="Calibri" w:hAnsi="Calibri"/>
                <w:color w:val="000000"/>
              </w:rPr>
            </w:pPr>
            <w:r>
              <w:rPr>
                <w:rFonts w:ascii="Calibri" w:hAnsi="Calibri"/>
                <w:color w:val="000000"/>
                <w:sz w:val="22"/>
              </w:rPr>
              <w:t>Averages</w:t>
            </w:r>
          </w:p>
        </w:tc>
        <w:tc>
          <w:tcPr>
            <w:tcW w:w="1306" w:type="pct"/>
            <w:tcBorders>
              <w:top w:val="nil"/>
              <w:left w:val="nil"/>
              <w:bottom w:val="nil"/>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1999-2006</w:t>
            </w:r>
          </w:p>
        </w:tc>
        <w:tc>
          <w:tcPr>
            <w:tcW w:w="767"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54</w:t>
            </w:r>
          </w:p>
        </w:tc>
        <w:tc>
          <w:tcPr>
            <w:tcW w:w="585" w:type="pct"/>
            <w:tcBorders>
              <w:top w:val="nil"/>
              <w:left w:val="nil"/>
              <w:bottom w:val="nil"/>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822</w:t>
            </w:r>
          </w:p>
        </w:tc>
        <w:tc>
          <w:tcPr>
            <w:tcW w:w="1430" w:type="pct"/>
            <w:tcBorders>
              <w:top w:val="nil"/>
              <w:left w:val="nil"/>
              <w:bottom w:val="nil"/>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407,896</w:t>
            </w:r>
          </w:p>
        </w:tc>
      </w:tr>
      <w:tr w:rsidR="002834DF" w:rsidTr="002834DF">
        <w:trPr>
          <w:trHeight w:val="300"/>
        </w:trPr>
        <w:tc>
          <w:tcPr>
            <w:tcW w:w="912" w:type="pct"/>
            <w:vMerge/>
            <w:tcBorders>
              <w:top w:val="nil"/>
              <w:left w:val="single" w:sz="4" w:space="0" w:color="auto"/>
              <w:bottom w:val="single" w:sz="4" w:space="0" w:color="000000"/>
              <w:right w:val="single" w:sz="4" w:space="0" w:color="auto"/>
            </w:tcBorders>
            <w:vAlign w:val="center"/>
            <w:hideMark/>
          </w:tcPr>
          <w:p w:rsidR="002834DF" w:rsidRDefault="002834DF" w:rsidP="002834DF">
            <w:pPr>
              <w:rPr>
                <w:rFonts w:ascii="Calibri" w:hAnsi="Calibri"/>
                <w:color w:val="000000"/>
              </w:rPr>
            </w:pPr>
          </w:p>
        </w:tc>
        <w:tc>
          <w:tcPr>
            <w:tcW w:w="1306" w:type="pct"/>
            <w:tcBorders>
              <w:top w:val="nil"/>
              <w:left w:val="nil"/>
              <w:bottom w:val="single" w:sz="4" w:space="0" w:color="auto"/>
              <w:right w:val="nil"/>
            </w:tcBorders>
            <w:shd w:val="clear" w:color="auto" w:fill="auto"/>
            <w:noWrap/>
            <w:vAlign w:val="bottom"/>
            <w:hideMark/>
          </w:tcPr>
          <w:p w:rsidR="002834DF" w:rsidRDefault="002834DF" w:rsidP="002834DF">
            <w:pPr>
              <w:rPr>
                <w:rFonts w:ascii="Calibri" w:hAnsi="Calibri"/>
                <w:color w:val="000000"/>
              </w:rPr>
            </w:pPr>
            <w:r>
              <w:rPr>
                <w:rFonts w:ascii="Calibri" w:hAnsi="Calibri"/>
                <w:color w:val="000000"/>
                <w:sz w:val="22"/>
              </w:rPr>
              <w:t>2007-2014</w:t>
            </w:r>
          </w:p>
        </w:tc>
        <w:tc>
          <w:tcPr>
            <w:tcW w:w="767" w:type="pct"/>
            <w:tcBorders>
              <w:top w:val="nil"/>
              <w:left w:val="nil"/>
              <w:bottom w:val="single" w:sz="4" w:space="0" w:color="auto"/>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42</w:t>
            </w:r>
          </w:p>
        </w:tc>
        <w:tc>
          <w:tcPr>
            <w:tcW w:w="585" w:type="pct"/>
            <w:tcBorders>
              <w:top w:val="nil"/>
              <w:left w:val="nil"/>
              <w:bottom w:val="single" w:sz="4" w:space="0" w:color="auto"/>
              <w:right w:val="nil"/>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412</w:t>
            </w:r>
          </w:p>
        </w:tc>
        <w:tc>
          <w:tcPr>
            <w:tcW w:w="1430" w:type="pct"/>
            <w:tcBorders>
              <w:top w:val="nil"/>
              <w:left w:val="nil"/>
              <w:bottom w:val="single" w:sz="4" w:space="0" w:color="auto"/>
              <w:right w:val="single" w:sz="4" w:space="0" w:color="auto"/>
            </w:tcBorders>
            <w:shd w:val="clear" w:color="auto" w:fill="auto"/>
            <w:noWrap/>
            <w:vAlign w:val="bottom"/>
            <w:hideMark/>
          </w:tcPr>
          <w:p w:rsidR="002834DF" w:rsidRDefault="002834DF" w:rsidP="002834DF">
            <w:pPr>
              <w:jc w:val="center"/>
              <w:rPr>
                <w:rFonts w:ascii="Calibri" w:hAnsi="Calibri"/>
                <w:color w:val="000000"/>
              </w:rPr>
            </w:pPr>
            <w:r>
              <w:rPr>
                <w:rFonts w:ascii="Calibri" w:hAnsi="Calibri"/>
                <w:color w:val="000000"/>
                <w:sz w:val="22"/>
              </w:rPr>
              <w:t>279,634</w:t>
            </w:r>
          </w:p>
        </w:tc>
      </w:tr>
    </w:tbl>
    <w:p w:rsidR="00E54DB5" w:rsidRPr="00E54DB5" w:rsidRDefault="00E54DB5" w:rsidP="00506523">
      <w:pPr>
        <w:spacing w:line="276" w:lineRule="auto"/>
        <w:outlineLvl w:val="0"/>
        <w:rPr>
          <w:sz w:val="16"/>
          <w:szCs w:val="16"/>
        </w:rPr>
      </w:pPr>
      <w:r w:rsidRPr="00E54DB5">
        <w:rPr>
          <w:sz w:val="16"/>
          <w:szCs w:val="16"/>
        </w:rPr>
        <w:t>Source: SEFSC Logbook data</w:t>
      </w:r>
    </w:p>
    <w:p w:rsidR="00891F13" w:rsidRPr="00E74FC1" w:rsidRDefault="00E54DB5" w:rsidP="00506523">
      <w:pPr>
        <w:spacing w:line="276" w:lineRule="auto"/>
        <w:outlineLvl w:val="0"/>
        <w:rPr>
          <w:sz w:val="16"/>
          <w:szCs w:val="16"/>
        </w:rPr>
      </w:pPr>
      <w:r w:rsidRPr="00E54DB5">
        <w:rPr>
          <w:sz w:val="16"/>
          <w:szCs w:val="16"/>
        </w:rPr>
        <w:t>Note: Landings from 2006 are excluded from Averages calculated for both Pre and Post 2006 Biological Opinion.</w:t>
      </w:r>
    </w:p>
    <w:p w:rsidR="00E74FC1" w:rsidRDefault="00E74FC1" w:rsidP="00891F13">
      <w:pPr>
        <w:pStyle w:val="MediumGrid21"/>
        <w:ind w:firstLine="360"/>
        <w:rPr>
          <w:rFonts w:ascii="Times New Roman" w:hAnsi="Times New Roman"/>
          <w:sz w:val="24"/>
          <w:szCs w:val="24"/>
        </w:rPr>
      </w:pPr>
      <w:r>
        <w:rPr>
          <w:rFonts w:ascii="Times New Roman" w:hAnsi="Times New Roman"/>
          <w:sz w:val="24"/>
          <w:szCs w:val="24"/>
        </w:rPr>
        <w:br/>
      </w:r>
    </w:p>
    <w:p w:rsidR="00E74FC1" w:rsidRDefault="00E74FC1">
      <w:pPr>
        <w:rPr>
          <w:szCs w:val="24"/>
        </w:rPr>
      </w:pPr>
      <w:r>
        <w:rPr>
          <w:szCs w:val="24"/>
        </w:rPr>
        <w:br w:type="page"/>
      </w:r>
    </w:p>
    <w:p w:rsidR="00E77C4D" w:rsidRDefault="00E77C4D">
      <w:pPr>
        <w:rPr>
          <w:szCs w:val="24"/>
        </w:rPr>
      </w:pPr>
      <w:proofErr w:type="gramStart"/>
      <w:r w:rsidRPr="00E77C4D">
        <w:rPr>
          <w:szCs w:val="24"/>
          <w:highlight w:val="yellow"/>
        </w:rPr>
        <w:lastRenderedPageBreak/>
        <w:t xml:space="preserve">DEIS Comments Review: DEIS comment period ended </w:t>
      </w:r>
      <w:r>
        <w:rPr>
          <w:szCs w:val="24"/>
          <w:highlight w:val="yellow"/>
        </w:rPr>
        <w:t>12/7/2015</w:t>
      </w:r>
      <w:r w:rsidRPr="00E77C4D">
        <w:rPr>
          <w:szCs w:val="24"/>
          <w:highlight w:val="yellow"/>
        </w:rPr>
        <w:t>.</w:t>
      </w:r>
      <w:proofErr w:type="gramEnd"/>
    </w:p>
    <w:p w:rsidR="00E77C4D" w:rsidRDefault="00E77C4D">
      <w:pPr>
        <w:rPr>
          <w:szCs w:val="24"/>
        </w:rPr>
      </w:pPr>
    </w:p>
    <w:p w:rsidR="00E77C4D" w:rsidRPr="00026E9A" w:rsidRDefault="00E77C4D" w:rsidP="00E77C4D">
      <w:pPr>
        <w:rPr>
          <w:b/>
          <w:sz w:val="48"/>
          <w:szCs w:val="48"/>
        </w:rPr>
      </w:pPr>
      <w:r>
        <w:rPr>
          <w:b/>
          <w:sz w:val="48"/>
          <w:szCs w:val="48"/>
        </w:rPr>
        <w:t xml:space="preserve">MOTION: </w:t>
      </w:r>
    </w:p>
    <w:p w:rsidR="00E77C4D" w:rsidRDefault="00E77C4D">
      <w:pPr>
        <w:rPr>
          <w:rFonts w:eastAsia="Calibri" w:cs="Times New Roman"/>
          <w:szCs w:val="24"/>
        </w:rPr>
      </w:pPr>
    </w:p>
    <w:p w:rsidR="00923995" w:rsidRDefault="00923995" w:rsidP="00764BD6">
      <w:pPr>
        <w:pStyle w:val="MediumGrid21"/>
        <w:rPr>
          <w:b/>
          <w:color w:val="1F497D" w:themeColor="text2"/>
          <w:sz w:val="36"/>
          <w:szCs w:val="36"/>
        </w:rPr>
      </w:pPr>
    </w:p>
    <w:p w:rsidR="00923995" w:rsidRPr="00104397" w:rsidRDefault="00923995" w:rsidP="00923995">
      <w:pPr>
        <w:pStyle w:val="Tabletitle"/>
        <w:rPr>
          <w:rFonts w:eastAsiaTheme="minorHAnsi"/>
          <w:bCs w:val="0"/>
        </w:rPr>
      </w:pPr>
    </w:p>
    <w:p w:rsidR="00923995" w:rsidRPr="00616F74" w:rsidRDefault="000242E5" w:rsidP="00923995">
      <w:pPr>
        <w:rPr>
          <w:b/>
          <w:highlight w:val="yellow"/>
        </w:rPr>
      </w:pPr>
      <w:r w:rsidRPr="000242E5">
        <w:rPr>
          <w:noProof/>
        </w:rPr>
        <w:pict>
          <v:shapetype id="_x0000_t202" coordsize="21600,21600" o:spt="202" path="m,l,21600r21600,l21600,xe">
            <v:stroke joinstyle="miter"/>
            <v:path gradientshapeok="t" o:connecttype="rect"/>
          </v:shapetype>
          <v:shape id="Text Box 29" o:spid="_x0000_s1028" type="#_x0000_t202" style="position:absolute;margin-left:0;margin-top:.25pt;width:459pt;height:229.2pt;z-index:251666944;visibility:visible;mso-wrap-distance-left:1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" strokecolor="#4f81bd" strokeweight="2.5pt">
            <v:shadow on="t" color="#868686" opacity=".5" offset="6pt,-6pt"/>
            <v:textbox>
              <w:txbxContent>
                <w:p w:rsidR="00244D18" w:rsidRPr="00121B74" w:rsidRDefault="00244D18" w:rsidP="004C59EF">
                  <w:pPr>
                    <w:rPr>
                      <w:rFonts w:ascii="Arial" w:hAnsi="Arial" w:cs="Arial"/>
                      <w:b/>
                      <w:i/>
                      <w:iCs/>
                      <w:color w:val="1F497D"/>
                      <w:sz w:val="36"/>
                      <w:szCs w:val="36"/>
                    </w:rPr>
                  </w:pPr>
                  <w:r w:rsidRPr="00121B74">
                    <w:rPr>
                      <w:rFonts w:ascii="Arial" w:hAnsi="Arial" w:cs="Arial"/>
                      <w:b/>
                      <w:i/>
                      <w:iCs/>
                      <w:color w:val="1F497D"/>
                      <w:sz w:val="36"/>
                      <w:szCs w:val="36"/>
                    </w:rPr>
                    <w:t>Purpose for Action</w:t>
                  </w:r>
                </w:p>
                <w:p w:rsidR="00244D18" w:rsidRPr="00121B74" w:rsidRDefault="00244D18" w:rsidP="004C59EF">
                  <w:pPr>
                    <w:rPr>
                      <w:rFonts w:ascii="Arial" w:hAnsi="Arial" w:cs="Arial"/>
                      <w:i/>
                      <w:iCs/>
                      <w:color w:val="1F497D"/>
                      <w:sz w:val="16"/>
                      <w:szCs w:val="16"/>
                    </w:rPr>
                  </w:pPr>
                </w:p>
                <w:p w:rsidR="00244D18" w:rsidRDefault="00244D18" w:rsidP="004C59EF">
                  <w:r w:rsidRPr="00764BD6">
                    <w:t>The purpose of Regulatory Amendment 16 is to reevaluate  the annual November 1 through April 30 prohibition on the use of black sea bass pot gear and enhance buoy line/weak link gear requirements and buoy line rope marking for black sea bass pots required by the Atlantic Large Whale Take Reduction Plan.</w:t>
                  </w:r>
                </w:p>
                <w:p w:rsidR="00244D18" w:rsidRDefault="00244D18" w:rsidP="004C59EF"/>
                <w:p w:rsidR="00244D18" w:rsidRPr="00121B74" w:rsidRDefault="00244D18" w:rsidP="004C59EF">
                  <w:pPr>
                    <w:rPr>
                      <w:rFonts w:ascii="Arial" w:hAnsi="Arial" w:cs="Arial"/>
                      <w:b/>
                      <w:i/>
                      <w:iCs/>
                      <w:color w:val="1F497D"/>
                      <w:sz w:val="36"/>
                      <w:szCs w:val="36"/>
                    </w:rPr>
                  </w:pPr>
                  <w:r w:rsidRPr="00121B74">
                    <w:rPr>
                      <w:rFonts w:ascii="Arial" w:hAnsi="Arial" w:cs="Arial"/>
                      <w:b/>
                      <w:i/>
                      <w:iCs/>
                      <w:color w:val="1F497D"/>
                      <w:sz w:val="36"/>
                      <w:szCs w:val="36"/>
                    </w:rPr>
                    <w:t>Need for Action</w:t>
                  </w:r>
                </w:p>
                <w:p w:rsidR="00244D18" w:rsidRPr="00121B74" w:rsidRDefault="00244D18" w:rsidP="004C59EF">
                  <w:pPr>
                    <w:rPr>
                      <w:rFonts w:ascii="Arial" w:hAnsi="Arial" w:cs="Arial"/>
                      <w:i/>
                      <w:iCs/>
                      <w:color w:val="1F497D"/>
                      <w:sz w:val="16"/>
                      <w:szCs w:val="16"/>
                    </w:rPr>
                  </w:pPr>
                </w:p>
                <w:p w:rsidR="00244D18" w:rsidRPr="0031550A" w:rsidRDefault="00244D18" w:rsidP="00764BD6">
                  <w:r w:rsidRPr="00764BD6">
                    <w:t>The need for the amendment is to reduce the adverse socioeconomic impacts resulting from the annual November 1 through April 30 prohibition on the use of black sea bass pot gear and increase the flexibility of black sea bass pot endorsement holders to fish with this gear while continuing to protect ESA-listed whales in the South Atlantic region; and reduce the adverse effects on whales if entangled and help identify black sea bass pot lines used in the South Atlantic.</w:t>
                  </w:r>
                </w:p>
                <w:p w:rsidR="00244D18" w:rsidRPr="00B97FEA" w:rsidRDefault="00244D18" w:rsidP="00E07973">
                  <w:pPr>
                    <w:outlineLvl w:val="0"/>
                  </w:pPr>
                </w:p>
              </w:txbxContent>
            </v:textbox>
            <w10:wrap type="square"/>
          </v:shape>
        </w:pict>
      </w:r>
      <w:r w:rsidR="00923995" w:rsidRPr="00616F74">
        <w:rPr>
          <w:b/>
          <w:highlight w:val="yellow"/>
        </w:rPr>
        <w:t>REQUIRED COMMITTEE ACTION:</w:t>
      </w:r>
    </w:p>
    <w:p w:rsidR="00923995" w:rsidRPr="00616F74" w:rsidRDefault="00923995" w:rsidP="00923995">
      <w:pPr>
        <w:ind w:firstLine="720"/>
        <w:rPr>
          <w:highlight w:val="yellow"/>
        </w:rPr>
      </w:pPr>
      <w:r w:rsidRPr="00616F74">
        <w:rPr>
          <w:highlight w:val="yellow"/>
        </w:rPr>
        <w:t xml:space="preserve">Option 1: Modify </w:t>
      </w:r>
      <w:r>
        <w:rPr>
          <w:highlight w:val="yellow"/>
        </w:rPr>
        <w:t>the Purpose and Need</w:t>
      </w:r>
    </w:p>
    <w:p w:rsidR="00923995" w:rsidRPr="00616F74" w:rsidRDefault="00923995" w:rsidP="00923995">
      <w:pPr>
        <w:ind w:firstLine="720"/>
        <w:rPr>
          <w:highlight w:val="yellow"/>
        </w:rPr>
      </w:pPr>
      <w:r w:rsidRPr="00616F74">
        <w:rPr>
          <w:highlight w:val="yellow"/>
        </w:rPr>
        <w:t xml:space="preserve">Option 2: </w:t>
      </w:r>
      <w:r w:rsidR="00290EED">
        <w:rPr>
          <w:highlight w:val="yellow"/>
        </w:rPr>
        <w:t>Approve the</w:t>
      </w:r>
      <w:r>
        <w:rPr>
          <w:highlight w:val="yellow"/>
        </w:rPr>
        <w:t xml:space="preserve"> Purpose and Need</w:t>
      </w:r>
      <w:r w:rsidR="00290EED">
        <w:rPr>
          <w:highlight w:val="yellow"/>
        </w:rPr>
        <w:t xml:space="preserve"> as shown above</w:t>
      </w:r>
    </w:p>
    <w:p w:rsidR="00923995" w:rsidRDefault="00923995" w:rsidP="00923995">
      <w:pPr>
        <w:ind w:firstLine="720"/>
      </w:pPr>
      <w:r w:rsidRPr="00616F74">
        <w:rPr>
          <w:highlight w:val="yellow"/>
        </w:rPr>
        <w:t xml:space="preserve">Option 3: </w:t>
      </w:r>
      <w:r>
        <w:rPr>
          <w:highlight w:val="yellow"/>
        </w:rPr>
        <w:t>Others??</w:t>
      </w:r>
    </w:p>
    <w:p w:rsidR="00026E9A" w:rsidRDefault="00026E9A" w:rsidP="00923995">
      <w:pPr>
        <w:ind w:firstLine="720"/>
      </w:pPr>
    </w:p>
    <w:p w:rsidR="00026E9A" w:rsidRPr="00026E9A" w:rsidRDefault="00026E9A" w:rsidP="00026E9A">
      <w:pPr>
        <w:rPr>
          <w:b/>
          <w:sz w:val="48"/>
          <w:szCs w:val="48"/>
        </w:rPr>
      </w:pPr>
      <w:r>
        <w:rPr>
          <w:b/>
          <w:sz w:val="48"/>
          <w:szCs w:val="48"/>
        </w:rPr>
        <w:t xml:space="preserve">MOTION: </w:t>
      </w:r>
    </w:p>
    <w:p w:rsidR="009A6410" w:rsidRPr="00764BD6" w:rsidRDefault="009A6410" w:rsidP="00764BD6">
      <w:pPr>
        <w:pStyle w:val="MediumGrid21"/>
        <w:rPr>
          <w:rFonts w:ascii="Times New Roman" w:hAnsi="Times New Roman"/>
          <w:sz w:val="24"/>
          <w:szCs w:val="24"/>
        </w:rPr>
      </w:pPr>
      <w:r>
        <w:rPr>
          <w:b/>
          <w:color w:val="1F497D" w:themeColor="text2"/>
          <w:sz w:val="36"/>
          <w:szCs w:val="36"/>
        </w:rPr>
        <w:br w:type="page"/>
      </w:r>
    </w:p>
    <w:p w:rsidR="00135EA7" w:rsidRPr="00135EA7" w:rsidRDefault="00135EA7" w:rsidP="00AF014F">
      <w:pPr>
        <w:rPr>
          <w:b/>
          <w:color w:val="1F497D" w:themeColor="text2"/>
          <w:sz w:val="36"/>
          <w:szCs w:val="36"/>
        </w:rPr>
      </w:pPr>
      <w:r w:rsidRPr="00135EA7">
        <w:rPr>
          <w:b/>
          <w:color w:val="1F497D" w:themeColor="text2"/>
          <w:sz w:val="36"/>
          <w:szCs w:val="36"/>
        </w:rPr>
        <w:lastRenderedPageBreak/>
        <w:t>Proposed Action</w:t>
      </w:r>
      <w:r w:rsidR="00891F13">
        <w:rPr>
          <w:b/>
          <w:color w:val="1F497D" w:themeColor="text2"/>
          <w:sz w:val="36"/>
          <w:szCs w:val="36"/>
        </w:rPr>
        <w:t>s</w:t>
      </w:r>
    </w:p>
    <w:p w:rsidR="00135EA7" w:rsidRDefault="00135EA7" w:rsidP="00135EA7">
      <w:pPr>
        <w:tabs>
          <w:tab w:val="left" w:pos="1215"/>
        </w:tabs>
        <w:spacing w:line="276" w:lineRule="auto"/>
        <w:outlineLvl w:val="0"/>
        <w:rPr>
          <w:b/>
          <w:color w:val="1F497D" w:themeColor="text2"/>
          <w:sz w:val="28"/>
          <w:szCs w:val="28"/>
        </w:rPr>
      </w:pPr>
    </w:p>
    <w:p w:rsidR="004A15FA" w:rsidRPr="008F1F62" w:rsidRDefault="004A15FA" w:rsidP="004A15FA">
      <w:pPr>
        <w:tabs>
          <w:tab w:val="left" w:pos="1215"/>
        </w:tabs>
        <w:spacing w:line="276" w:lineRule="auto"/>
        <w:outlineLvl w:val="0"/>
        <w:rPr>
          <w:rFonts w:cs="Times New Roman"/>
          <w:b/>
          <w:color w:val="1F497D" w:themeColor="text2"/>
          <w:sz w:val="32"/>
          <w:szCs w:val="32"/>
        </w:rPr>
      </w:pPr>
      <w:proofErr w:type="gramStart"/>
      <w:r w:rsidRPr="008F1F62">
        <w:rPr>
          <w:rFonts w:cs="Times New Roman"/>
          <w:b/>
          <w:color w:val="1F497D" w:themeColor="text2"/>
          <w:sz w:val="32"/>
          <w:szCs w:val="32"/>
        </w:rPr>
        <w:t>Action 1.</w:t>
      </w:r>
      <w:proofErr w:type="gramEnd"/>
      <w:r w:rsidRPr="008F1F62">
        <w:rPr>
          <w:rFonts w:cs="Times New Roman"/>
          <w:b/>
          <w:color w:val="1F497D" w:themeColor="text2"/>
          <w:sz w:val="32"/>
          <w:szCs w:val="32"/>
        </w:rPr>
        <w:t xml:space="preserve">  Modify the annual November 1 through April 30 prohibition on the use of black sea bass pot gear</w:t>
      </w:r>
    </w:p>
    <w:p w:rsidR="004A15FA" w:rsidRDefault="004A15FA" w:rsidP="004A15FA">
      <w:pPr>
        <w:rPr>
          <w:rFonts w:cs="Times New Roman"/>
          <w:szCs w:val="24"/>
        </w:rPr>
      </w:pPr>
    </w:p>
    <w:p w:rsidR="008F1F62" w:rsidRPr="00BD1A1E" w:rsidRDefault="008F1F62" w:rsidP="004A15FA">
      <w:pPr>
        <w:rPr>
          <w:rFonts w:cs="Times New Roman"/>
          <w:szCs w:val="24"/>
        </w:rPr>
      </w:pPr>
      <w:r w:rsidRPr="00BD1A1E">
        <w:rPr>
          <w:rFonts w:cs="Times New Roman"/>
          <w:i/>
          <w:szCs w:val="24"/>
          <w:u w:val="single"/>
        </w:rPr>
        <w:t>Note</w:t>
      </w:r>
      <w:r>
        <w:rPr>
          <w:rFonts w:cs="Times New Roman"/>
          <w:szCs w:val="24"/>
        </w:rPr>
        <w:t xml:space="preserve">: There are many alternatives and sub-alternatives under </w:t>
      </w:r>
      <w:r>
        <w:rPr>
          <w:rFonts w:cs="Times New Roman"/>
          <w:b/>
          <w:szCs w:val="24"/>
        </w:rPr>
        <w:t>Action 1</w:t>
      </w:r>
      <w:r>
        <w:rPr>
          <w:rFonts w:cs="Times New Roman"/>
          <w:szCs w:val="24"/>
        </w:rPr>
        <w:t xml:space="preserve">.  The Council’s intent with this action is to find the maximal combination of management measures that will allow the entire commercial black sea bass fishery (all gears) to open beginning January 1 each year and have it last as long as possible before reaching the ACL and </w:t>
      </w:r>
      <w:r w:rsidR="00BD1A1E">
        <w:rPr>
          <w:rFonts w:cs="Times New Roman"/>
          <w:szCs w:val="24"/>
        </w:rPr>
        <w:t>forcing a closure</w:t>
      </w:r>
      <w:r>
        <w:rPr>
          <w:rFonts w:cs="Times New Roman"/>
          <w:szCs w:val="24"/>
        </w:rPr>
        <w:t xml:space="preserve"> </w:t>
      </w:r>
      <w:r w:rsidR="00E3190B">
        <w:rPr>
          <w:rFonts w:cs="Times New Roman"/>
          <w:szCs w:val="24"/>
        </w:rPr>
        <w:t xml:space="preserve">of </w:t>
      </w:r>
      <w:r>
        <w:rPr>
          <w:rFonts w:cs="Times New Roman"/>
          <w:szCs w:val="24"/>
        </w:rPr>
        <w:t>the fishery prior to December 31</w:t>
      </w:r>
      <w:r w:rsidRPr="008F1F62">
        <w:rPr>
          <w:rFonts w:cs="Times New Roman"/>
          <w:szCs w:val="24"/>
          <w:vertAlign w:val="superscript"/>
        </w:rPr>
        <w:t>st</w:t>
      </w:r>
      <w:r>
        <w:rPr>
          <w:rFonts w:cs="Times New Roman"/>
          <w:szCs w:val="24"/>
        </w:rPr>
        <w:t xml:space="preserve">.  The Council </w:t>
      </w:r>
      <w:r w:rsidR="00E3190B">
        <w:rPr>
          <w:rFonts w:cs="Times New Roman"/>
          <w:szCs w:val="24"/>
        </w:rPr>
        <w:t xml:space="preserve">is </w:t>
      </w:r>
      <w:r>
        <w:rPr>
          <w:rFonts w:cs="Times New Roman"/>
          <w:szCs w:val="24"/>
        </w:rPr>
        <w:t xml:space="preserve">also </w:t>
      </w:r>
      <w:r w:rsidR="00E3190B">
        <w:rPr>
          <w:rFonts w:cs="Times New Roman"/>
          <w:szCs w:val="24"/>
        </w:rPr>
        <w:t>factoring in</w:t>
      </w:r>
      <w:r>
        <w:rPr>
          <w:rFonts w:cs="Times New Roman"/>
          <w:szCs w:val="24"/>
        </w:rPr>
        <w:t xml:space="preserve"> the need to protect critically endangered North </w:t>
      </w:r>
      <w:r w:rsidR="00670845">
        <w:rPr>
          <w:rFonts w:cs="Times New Roman"/>
          <w:szCs w:val="24"/>
        </w:rPr>
        <w:t>Atlantic</w:t>
      </w:r>
      <w:r>
        <w:rPr>
          <w:rFonts w:cs="Times New Roman"/>
          <w:szCs w:val="24"/>
        </w:rPr>
        <w:t xml:space="preserve"> Right Whales (NARW) that migrate through South Atlantic waters and calve in the South Atlantic Bight roughly during the November through April time frame.  To meet these two objectives, the Cou</w:t>
      </w:r>
      <w:r w:rsidR="00BD1A1E">
        <w:rPr>
          <w:rFonts w:cs="Times New Roman"/>
          <w:szCs w:val="24"/>
        </w:rPr>
        <w:t>ncil is considering various time frame</w:t>
      </w:r>
      <w:r>
        <w:rPr>
          <w:rFonts w:cs="Times New Roman"/>
          <w:szCs w:val="24"/>
        </w:rPr>
        <w:t>s</w:t>
      </w:r>
      <w:r w:rsidR="009A72F2">
        <w:rPr>
          <w:rFonts w:cs="Times New Roman"/>
          <w:szCs w:val="24"/>
        </w:rPr>
        <w:t>, water depths,</w:t>
      </w:r>
      <w:r w:rsidR="00BD1A1E">
        <w:rPr>
          <w:rFonts w:cs="Times New Roman"/>
          <w:szCs w:val="24"/>
        </w:rPr>
        <w:t xml:space="preserve"> and locations for allowing or not allowing black sea bass pot gear to be in the waters managed by the South Atlantic</w:t>
      </w:r>
      <w:r w:rsidR="00290EED">
        <w:rPr>
          <w:rFonts w:cs="Times New Roman"/>
          <w:szCs w:val="24"/>
        </w:rPr>
        <w:t xml:space="preserve"> Council</w:t>
      </w:r>
      <w:r w:rsidR="00BD1A1E">
        <w:rPr>
          <w:rFonts w:cs="Times New Roman"/>
          <w:szCs w:val="24"/>
        </w:rPr>
        <w:t xml:space="preserve">, so as to reduce as much as possible, the potential for interactions between NARWs and black sea bass pot gear.  Each of the alternatives and sub-alternatives of </w:t>
      </w:r>
      <w:r w:rsidR="00BD1A1E">
        <w:rPr>
          <w:rFonts w:cs="Times New Roman"/>
          <w:b/>
          <w:szCs w:val="24"/>
        </w:rPr>
        <w:t>Action 1</w:t>
      </w:r>
      <w:r w:rsidR="00BD1A1E">
        <w:rPr>
          <w:rFonts w:cs="Times New Roman"/>
          <w:szCs w:val="24"/>
        </w:rPr>
        <w:t xml:space="preserve"> manipulate timing and location</w:t>
      </w:r>
      <w:r w:rsidR="009A72F2">
        <w:rPr>
          <w:rFonts w:cs="Times New Roman"/>
          <w:szCs w:val="24"/>
        </w:rPr>
        <w:t>/depth</w:t>
      </w:r>
      <w:r w:rsidR="00BD1A1E">
        <w:rPr>
          <w:rFonts w:cs="Times New Roman"/>
          <w:szCs w:val="24"/>
        </w:rPr>
        <w:t xml:space="preserve"> of prohibited fishing areas to maximize fishing opportunity and protection for whales.</w:t>
      </w:r>
    </w:p>
    <w:p w:rsidR="008F1F62" w:rsidRPr="00B97FEA" w:rsidRDefault="008F1F62" w:rsidP="004A15FA">
      <w:pPr>
        <w:rPr>
          <w:rFonts w:cs="Times New Roman"/>
          <w:szCs w:val="24"/>
        </w:rPr>
      </w:pPr>
    </w:p>
    <w:p w:rsidR="0084066B" w:rsidRPr="00B97FEA" w:rsidRDefault="000242E5" w:rsidP="0084066B">
      <w:pPr>
        <w:rPr>
          <w:rFonts w:cs="Times New Roman"/>
          <w:szCs w:val="24"/>
        </w:rPr>
      </w:pPr>
      <w:r>
        <w:rPr>
          <w:rFonts w:cs="Times New Roman"/>
          <w:noProof/>
          <w:szCs w:val="24"/>
        </w:rPr>
        <w:pict>
          <v:shape id="Text Box 2197" o:spid="_x0000_s1027" type="#_x0000_t202" style="position:absolute;margin-left:-15.7pt;margin-top:62.4pt;width:497.25pt;height:234.05pt;z-index:-251647488;visibility:visible;mso-wrap-distance-left:14.4pt" wrapcoords="130 -692 -65 -138 -65 21669 21698 21669 21828 21462 21926 21046 21926 -692 130 -6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" strokecolor="#4f81bd" strokeweight="2.5pt">
            <v:shadow on="t" color="#868686" opacity=".5" offset="6pt,-6pt"/>
            <v:textbox>
              <w:txbxContent>
                <w:p w:rsidR="00244D18" w:rsidRDefault="00244D18" w:rsidP="0084066B">
                  <w:pPr>
                    <w:ind w:firstLine="360"/>
                  </w:pPr>
                  <w:r>
                    <w:t xml:space="preserve">The following provisions currently exist that may reduce entanglements of whales listed under the </w:t>
                  </w:r>
                  <w:r w:rsidRPr="00855015">
                    <w:t>Endangered Species Act</w:t>
                  </w:r>
                  <w:r>
                    <w:t>.  The South Atlantic Fishery Management Council does not intend to change these provisions through this amendment.</w:t>
                  </w:r>
                </w:p>
                <w:p w:rsidR="00244D18" w:rsidRDefault="00244D18" w:rsidP="0084066B"/>
                <w:p w:rsidR="00244D18" w:rsidRDefault="00244D18" w:rsidP="0084066B">
                  <w:r>
                    <w:t xml:space="preserve">Amendment 18A to the Snapper Grouper Fishery Management Plan of the South Atlantic Region </w:t>
                  </w:r>
                  <w:r w:rsidRPr="00EC2FB7">
                    <w:t xml:space="preserve">(SAFMC 2012a): </w:t>
                  </w:r>
                </w:p>
                <w:p w:rsidR="00244D18" w:rsidRPr="00EC2FB7" w:rsidRDefault="00244D18" w:rsidP="0084066B"/>
                <w:p w:rsidR="00244D18" w:rsidRPr="0004369A" w:rsidRDefault="00244D18" w:rsidP="0084066B">
                  <w:pPr>
                    <w:pStyle w:val="ListParagraph"/>
                    <w:numPr>
                      <w:ilvl w:val="0"/>
                      <w:numId w:val="3"/>
                    </w:numPr>
                    <w:spacing w:after="200" w:line="276" w:lineRule="auto"/>
                  </w:pPr>
                  <w:r w:rsidRPr="00C8006D">
                    <w:rPr>
                      <w:szCs w:val="24"/>
                    </w:rPr>
                    <w:t>Established an endorsement program that capped the number of vessels utilizing pot gear at 32;</w:t>
                  </w:r>
                </w:p>
                <w:p w:rsidR="00244D18" w:rsidRPr="0004369A" w:rsidRDefault="00244D18" w:rsidP="0084066B">
                  <w:pPr>
                    <w:pStyle w:val="ListParagraph"/>
                    <w:numPr>
                      <w:ilvl w:val="0"/>
                      <w:numId w:val="3"/>
                    </w:numPr>
                    <w:spacing w:after="200" w:line="276" w:lineRule="auto"/>
                  </w:pPr>
                  <w:r w:rsidRPr="00C8006D">
                    <w:rPr>
                      <w:szCs w:val="24"/>
                    </w:rPr>
                    <w:t>Limited the number of pots per vessel to 35</w:t>
                  </w:r>
                  <w:r>
                    <w:rPr>
                      <w:szCs w:val="24"/>
                    </w:rPr>
                    <w:t>;</w:t>
                  </w:r>
                  <w:r w:rsidRPr="00C8006D">
                    <w:rPr>
                      <w:szCs w:val="24"/>
                    </w:rPr>
                    <w:t xml:space="preserve"> </w:t>
                  </w:r>
                </w:p>
                <w:p w:rsidR="00244D18" w:rsidRPr="0004369A" w:rsidRDefault="00244D18" w:rsidP="0084066B">
                  <w:pPr>
                    <w:pStyle w:val="ListParagraph"/>
                    <w:numPr>
                      <w:ilvl w:val="0"/>
                      <w:numId w:val="3"/>
                    </w:numPr>
                    <w:spacing w:after="200" w:line="276" w:lineRule="auto"/>
                  </w:pPr>
                  <w:r w:rsidRPr="00C8006D">
                    <w:rPr>
                      <w:szCs w:val="24"/>
                    </w:rPr>
                    <w:t>Required that pots be brought back to shore after each trip</w:t>
                  </w:r>
                  <w:r>
                    <w:rPr>
                      <w:szCs w:val="24"/>
                    </w:rPr>
                    <w:t>; and</w:t>
                  </w:r>
                </w:p>
                <w:p w:rsidR="00244D18" w:rsidRPr="005344B0" w:rsidRDefault="00244D18" w:rsidP="0084066B">
                  <w:pPr>
                    <w:pStyle w:val="ListParagraph"/>
                    <w:numPr>
                      <w:ilvl w:val="0"/>
                      <w:numId w:val="3"/>
                    </w:numPr>
                    <w:spacing w:after="200" w:line="276" w:lineRule="auto"/>
                  </w:pPr>
                  <w:r w:rsidRPr="00C8006D">
                    <w:rPr>
                      <w:szCs w:val="24"/>
                    </w:rPr>
                    <w:t xml:space="preserve">Established a commercial trip limit of 1,000 lbs </w:t>
                  </w:r>
                  <w:proofErr w:type="spellStart"/>
                  <w:proofErr w:type="gramStart"/>
                  <w:r w:rsidRPr="00C8006D">
                    <w:rPr>
                      <w:szCs w:val="24"/>
                    </w:rPr>
                    <w:t>gw</w:t>
                  </w:r>
                  <w:proofErr w:type="spellEnd"/>
                  <w:proofErr w:type="gramEnd"/>
                  <w:r>
                    <w:rPr>
                      <w:szCs w:val="24"/>
                    </w:rPr>
                    <w:t>.</w:t>
                  </w:r>
                </w:p>
                <w:p w:rsidR="00244D18" w:rsidRPr="00521143" w:rsidRDefault="00244D18" w:rsidP="0084066B">
                  <w:pPr>
                    <w:ind w:firstLine="360"/>
                  </w:pPr>
                  <w:r>
                    <w:t xml:space="preserve">See </w:t>
                  </w:r>
                  <w:r w:rsidRPr="00B9499A">
                    <w:rPr>
                      <w:b/>
                    </w:rPr>
                    <w:t>Table 1.6.1</w:t>
                  </w:r>
                  <w:r>
                    <w:t xml:space="preserve"> in Regulatory Amendment 16 for </w:t>
                  </w:r>
                  <w:r w:rsidRPr="00B9499A">
                    <w:t xml:space="preserve">measures </w:t>
                  </w:r>
                  <w:r>
                    <w:t>mandated through the Atlantic Large Whale Take Reduction Plan.</w:t>
                  </w:r>
                </w:p>
              </w:txbxContent>
            </v:textbox>
            <w10:wrap type="tight"/>
          </v:shape>
        </w:pict>
      </w:r>
      <w:proofErr w:type="gramStart"/>
      <w:r w:rsidR="0084066B" w:rsidRPr="00B97FEA">
        <w:rPr>
          <w:rFonts w:cs="Times New Roman"/>
          <w:b/>
          <w:szCs w:val="24"/>
        </w:rPr>
        <w:t>Alternative 1 (No Action).</w:t>
      </w:r>
      <w:proofErr w:type="gramEnd"/>
      <w:r w:rsidR="0084066B" w:rsidRPr="00B97FEA">
        <w:rPr>
          <w:rFonts w:cs="Times New Roman"/>
          <w:szCs w:val="24"/>
        </w:rPr>
        <w:t xml:space="preserve">  Retention, possession, and fishing for black sea bass is prohibited using black sea bass pot gear, annually, from November 1 through April </w:t>
      </w:r>
      <w:r w:rsidR="0084066B" w:rsidRPr="00764BD6">
        <w:rPr>
          <w:rFonts w:cs="Times New Roman"/>
          <w:szCs w:val="24"/>
        </w:rPr>
        <w:t>30</w:t>
      </w:r>
      <w:r w:rsidR="00AF014F" w:rsidRPr="00764BD6">
        <w:t xml:space="preserve"> where black sea bass is managed in the South Atlantic EEZ</w:t>
      </w:r>
      <w:r w:rsidR="00764BD6">
        <w:t xml:space="preserve"> (south of </w:t>
      </w:r>
      <w:r w:rsidR="00956AB1">
        <w:t>Cape</w:t>
      </w:r>
      <w:r w:rsidR="00764BD6">
        <w:t xml:space="preserve"> Hatteras, NC</w:t>
      </w:r>
      <w:r w:rsidR="00290EED">
        <w:t>)</w:t>
      </w:r>
      <w:r w:rsidR="0084066B" w:rsidRPr="00B97FEA">
        <w:rPr>
          <w:rFonts w:cs="Times New Roman"/>
          <w:szCs w:val="24"/>
        </w:rPr>
        <w:t>.</w:t>
      </w:r>
    </w:p>
    <w:p w:rsidR="0084066B" w:rsidRPr="00B97FEA" w:rsidRDefault="0084066B" w:rsidP="0084066B">
      <w:pPr>
        <w:rPr>
          <w:rStyle w:val="Heading3Char"/>
          <w:rFonts w:ascii="Times New Roman" w:eastAsiaTheme="minorHAnsi" w:hAnsi="Times New Roman" w:cs="Times New Roman"/>
          <w:b w:val="0"/>
          <w:bCs w:val="0"/>
          <w:szCs w:val="24"/>
        </w:rPr>
      </w:pPr>
    </w:p>
    <w:p w:rsidR="00AF014F" w:rsidRDefault="00AF014F" w:rsidP="00AF014F">
      <w:pPr>
        <w:rPr>
          <w:rStyle w:val="Heading3Char"/>
          <w:rFonts w:eastAsiaTheme="minorHAnsi" w:cs="Times New Roman"/>
          <w:szCs w:val="24"/>
        </w:rPr>
      </w:pPr>
    </w:p>
    <w:p w:rsidR="00AF014F" w:rsidRPr="008B0C18" w:rsidRDefault="00AF014F" w:rsidP="00AF014F">
      <w:pPr>
        <w:rPr>
          <w:rStyle w:val="Heading3Char"/>
          <w:rFonts w:eastAsiaTheme="minorHAnsi" w:cs="Times New Roman"/>
          <w:b w:val="0"/>
          <w:szCs w:val="24"/>
        </w:rPr>
      </w:pPr>
      <w:proofErr w:type="gramStart"/>
      <w:r w:rsidRPr="00D073BA">
        <w:rPr>
          <w:rStyle w:val="Heading3Char"/>
          <w:rFonts w:ascii="Times New Roman" w:eastAsiaTheme="minorHAnsi" w:hAnsi="Times New Roman" w:cs="Times New Roman"/>
          <w:szCs w:val="24"/>
        </w:rPr>
        <w:lastRenderedPageBreak/>
        <w:t>Alternative 2.</w:t>
      </w:r>
      <w:proofErr w:type="gramEnd"/>
      <w:r w:rsidRPr="008B0C18">
        <w:rPr>
          <w:rStyle w:val="Heading3Char"/>
          <w:rFonts w:eastAsiaTheme="minorHAnsi" w:cs="Times New Roman"/>
          <w:b w:val="0"/>
          <w:szCs w:val="24"/>
        </w:rPr>
        <w:t xml:space="preserve">  </w:t>
      </w:r>
      <w:r w:rsidRPr="008B0C18">
        <w:rPr>
          <w:iCs/>
        </w:rPr>
        <w:t>The black sea bass pot closure</w:t>
      </w:r>
      <w:r w:rsidR="000242E5">
        <w:rPr>
          <w:iCs/>
        </w:rPr>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rPr>
          <w:iCs/>
        </w:rPr>
        <w:fldChar w:fldCharType="end"/>
      </w:r>
      <w:r w:rsidRPr="008B0C18">
        <w:rPr>
          <w:iCs/>
        </w:rPr>
        <w:t xml:space="preserve"> applies to the area currently designated as North Atlantic right whale critical</w:t>
      </w:r>
      <w:r w:rsidR="000242E5">
        <w:rPr>
          <w:iCs/>
        </w:rPr>
        <w:fldChar w:fldCharType="begin"/>
      </w:r>
      <w:r>
        <w:instrText xml:space="preserve"> XE "</w:instrText>
      </w:r>
      <w:r w:rsidRPr="00DF5E92">
        <w:rPr>
          <w:rStyle w:val="Heading3Char"/>
          <w:rFonts w:eastAsiaTheme="minorHAnsi" w:cs="Times New Roman"/>
          <w:b w:val="0"/>
          <w:szCs w:val="24"/>
        </w:rPr>
        <w:instrText>North Atlantic right whale critical</w:instrText>
      </w:r>
      <w:r>
        <w:instrText xml:space="preserve">" </w:instrText>
      </w:r>
      <w:r w:rsidR="000242E5">
        <w:rPr>
          <w:iCs/>
        </w:rPr>
        <w:fldChar w:fldCharType="end"/>
      </w:r>
      <w:r w:rsidRPr="008B0C18">
        <w:rPr>
          <w:iCs/>
        </w:rPr>
        <w:t xml:space="preserve"> habitat </w:t>
      </w:r>
      <w:r w:rsidRPr="008B0C18">
        <w:rPr>
          <w:b/>
          <w:iCs/>
        </w:rPr>
        <w:t>(Figure 2.1.1)</w:t>
      </w:r>
      <w:r w:rsidRPr="008B0C18">
        <w:rPr>
          <w:iCs/>
        </w:rPr>
        <w:t xml:space="preserve">.  </w:t>
      </w:r>
      <w:r>
        <w:rPr>
          <w:iCs/>
        </w:rPr>
        <w:t>North Atlantic right whale critical habitat</w:t>
      </w:r>
      <w:r w:rsidRPr="008B0C18">
        <w:rPr>
          <w:iCs/>
        </w:rPr>
        <w:t xml:space="preserve"> encompasses waters between 31° 15</w:t>
      </w:r>
      <w:r>
        <w:rPr>
          <w:iCs/>
        </w:rPr>
        <w:t>’</w:t>
      </w:r>
      <w:r w:rsidRPr="008B0C18">
        <w:rPr>
          <w:iCs/>
        </w:rPr>
        <w:t>N, (approximately the mouth of the Altamaha River, Georgia) and 30° 15</w:t>
      </w:r>
      <w:r>
        <w:rPr>
          <w:iCs/>
        </w:rPr>
        <w:t>’</w:t>
      </w:r>
      <w:r w:rsidRPr="008B0C18">
        <w:rPr>
          <w:iCs/>
        </w:rPr>
        <w:t>N (approximately Jacksonville, Florida) from the shoreline out to 15 nautical miles offshore; and the waters between 30° 15</w:t>
      </w:r>
      <w:r>
        <w:rPr>
          <w:iCs/>
        </w:rPr>
        <w:t>’</w:t>
      </w:r>
      <w:r w:rsidRPr="008B0C18">
        <w:rPr>
          <w:iCs/>
        </w:rPr>
        <w:t>N and 28 °00</w:t>
      </w:r>
      <w:r>
        <w:rPr>
          <w:iCs/>
        </w:rPr>
        <w:t>’</w:t>
      </w:r>
      <w:r w:rsidRPr="008B0C18">
        <w:rPr>
          <w:iCs/>
        </w:rPr>
        <w:t>N, (approximately Sebastian Inlet, Florida) from the shoreline out to 5 nautical miles.  The closure applies to the area annually from November 15 through April 15.</w:t>
      </w:r>
    </w:p>
    <w:p w:rsidR="00AF014F" w:rsidRPr="003A06F9" w:rsidRDefault="00AF014F" w:rsidP="00AF014F">
      <w:pPr>
        <w:rPr>
          <w:rFonts w:cs="Times New Roman"/>
          <w:iCs/>
          <w:szCs w:val="24"/>
        </w:rPr>
      </w:pPr>
      <w:r w:rsidRPr="003A06F9">
        <w:rPr>
          <w:rFonts w:cs="Times New Roman"/>
          <w:iCs/>
          <w:szCs w:val="24"/>
        </w:rPr>
        <w:t xml:space="preserve"> </w:t>
      </w:r>
    </w:p>
    <w:p w:rsidR="00AF014F" w:rsidRPr="003A06F9" w:rsidRDefault="00AF014F" w:rsidP="00AF014F">
      <w:pPr>
        <w:rPr>
          <w:rStyle w:val="Heading3Char"/>
          <w:rFonts w:ascii="Times New Roman" w:eastAsiaTheme="minorHAnsi" w:hAnsi="Times New Roman" w:cs="Times New Roman"/>
          <w:b w:val="0"/>
          <w:szCs w:val="24"/>
        </w:rPr>
      </w:pPr>
      <w:r w:rsidRPr="003A06F9">
        <w:rPr>
          <w:rStyle w:val="Heading3Char"/>
          <w:rFonts w:ascii="Times New Roman" w:eastAsiaTheme="minorHAnsi" w:hAnsi="Times New Roman" w:cs="Times New Roman"/>
          <w:b w:val="0"/>
          <w:szCs w:val="24"/>
        </w:rPr>
        <w:t>This area represents North Atlantic right whale critical</w:t>
      </w:r>
      <w:r w:rsidR="000242E5" w:rsidRPr="003A06F9">
        <w:rPr>
          <w:rStyle w:val="Heading3Char"/>
          <w:rFonts w:ascii="Times New Roman" w:eastAsiaTheme="minorHAnsi" w:hAnsi="Times New Roman" w:cs="Times New Roman"/>
          <w:b w:val="0"/>
          <w:szCs w:val="24"/>
        </w:rPr>
        <w:fldChar w:fldCharType="begin"/>
      </w:r>
      <w:r w:rsidRPr="003A06F9">
        <w:rPr>
          <w:rFonts w:cs="Times New Roman"/>
          <w:szCs w:val="24"/>
        </w:rPr>
        <w:instrText xml:space="preserve"> XE "</w:instrText>
      </w:r>
      <w:r w:rsidRPr="003A06F9">
        <w:rPr>
          <w:rStyle w:val="Heading3Char"/>
          <w:rFonts w:ascii="Times New Roman" w:eastAsiaTheme="minorHAnsi" w:hAnsi="Times New Roman" w:cs="Times New Roman"/>
          <w:b w:val="0"/>
          <w:szCs w:val="24"/>
        </w:rPr>
        <w:instrText>North Atlantic right whale critical</w:instrText>
      </w:r>
      <w:r w:rsidRPr="003A06F9">
        <w:rPr>
          <w:rFonts w:cs="Times New Roman"/>
          <w:szCs w:val="24"/>
        </w:rPr>
        <w:instrText xml:space="preserve">" </w:instrText>
      </w:r>
      <w:r w:rsidR="000242E5" w:rsidRPr="003A06F9">
        <w:rPr>
          <w:rStyle w:val="Heading3Char"/>
          <w:rFonts w:ascii="Times New Roman" w:eastAsiaTheme="minorHAnsi" w:hAnsi="Times New Roman" w:cs="Times New Roman"/>
          <w:b w:val="0"/>
          <w:szCs w:val="24"/>
        </w:rPr>
        <w:fldChar w:fldCharType="end"/>
      </w:r>
      <w:r w:rsidRPr="003A06F9">
        <w:rPr>
          <w:rStyle w:val="Heading3Char"/>
          <w:rFonts w:ascii="Times New Roman" w:eastAsiaTheme="minorHAnsi" w:hAnsi="Times New Roman" w:cs="Times New Roman"/>
          <w:b w:val="0"/>
          <w:szCs w:val="24"/>
        </w:rPr>
        <w:t xml:space="preserve"> habitat in the South Atlantic region designated on June 3, 1994.  </w:t>
      </w:r>
      <w:r w:rsidRPr="003A06F9">
        <w:rPr>
          <w:rFonts w:cs="Times New Roman"/>
          <w:iCs/>
          <w:szCs w:val="24"/>
        </w:rPr>
        <w:t xml:space="preserve">The map below provides location of the critical habitat boundary.  The critical habitat designation did not provide waypoints for the boundary.  </w:t>
      </w:r>
      <w:r w:rsidRPr="003A06F9">
        <w:rPr>
          <w:rStyle w:val="Heading3Char"/>
          <w:rFonts w:ascii="Times New Roman" w:eastAsiaTheme="minorHAnsi" w:hAnsi="Times New Roman" w:cs="Times New Roman"/>
          <w:b w:val="0"/>
          <w:szCs w:val="24"/>
        </w:rPr>
        <w:t xml:space="preserve">The boundary would not automatically change if the boundary for the right whale critical habitat were to change.  </w:t>
      </w:r>
      <w:r w:rsidRPr="003A06F9">
        <w:rPr>
          <w:rFonts w:cs="Times New Roman"/>
          <w:color w:val="222222"/>
          <w:szCs w:val="24"/>
          <w:shd w:val="clear" w:color="auto" w:fill="FFFFFF"/>
        </w:rPr>
        <w:t>North Atlantic right whale critical habitat is currently undergoing a revision based on more current data.  Proposed changes are published at: 80 FR 9314.  </w:t>
      </w:r>
    </w:p>
    <w:p w:rsidR="00AF014F" w:rsidRPr="003A06F9" w:rsidRDefault="00AF014F" w:rsidP="00AF014F">
      <w:pPr>
        <w:rPr>
          <w:rStyle w:val="Heading3Char"/>
          <w:rFonts w:ascii="Times New Roman" w:eastAsiaTheme="minorHAnsi" w:hAnsi="Times New Roman" w:cs="Times New Roman"/>
          <w:b w:val="0"/>
          <w:szCs w:val="24"/>
        </w:rPr>
      </w:pPr>
    </w:p>
    <w:p w:rsidR="00AF014F" w:rsidRDefault="00AF014F" w:rsidP="00AF014F">
      <w:pPr>
        <w:widowControl w:val="0"/>
        <w:autoSpaceDE w:val="0"/>
        <w:autoSpaceDN w:val="0"/>
        <w:adjustRightInd w:val="0"/>
      </w:pPr>
      <w:r>
        <w:t>The following is l</w:t>
      </w:r>
      <w:r w:rsidRPr="00E87D40">
        <w:t>anguage describing th</w:t>
      </w:r>
      <w:r>
        <w:t>e</w:t>
      </w:r>
      <w:r w:rsidRPr="00E87D40">
        <w:t xml:space="preserve"> </w:t>
      </w:r>
      <w:r>
        <w:t>North Atlantic right whale critical</w:t>
      </w:r>
      <w:r w:rsidR="000242E5">
        <w:fldChar w:fldCharType="begin"/>
      </w:r>
      <w:r>
        <w:instrText xml:space="preserve"> XE "</w:instrText>
      </w:r>
      <w:r w:rsidRPr="00DF5E92">
        <w:rPr>
          <w:rStyle w:val="Heading3Char"/>
          <w:rFonts w:eastAsiaTheme="minorHAnsi" w:cs="Times New Roman"/>
          <w:b w:val="0"/>
          <w:szCs w:val="24"/>
        </w:rPr>
        <w:instrText>North Atlantic right whale critical</w:instrText>
      </w:r>
      <w:r>
        <w:instrText xml:space="preserve">" </w:instrText>
      </w:r>
      <w:r w:rsidR="000242E5">
        <w:fldChar w:fldCharType="end"/>
      </w:r>
      <w:r>
        <w:t xml:space="preserve"> habitat </w:t>
      </w:r>
      <w:r w:rsidRPr="00E87D40">
        <w:t xml:space="preserve">area from </w:t>
      </w:r>
      <w:r>
        <w:t>50 CFR 226:</w:t>
      </w:r>
    </w:p>
    <w:p w:rsidR="00AF014F" w:rsidRPr="002F5F78" w:rsidRDefault="00AF014F" w:rsidP="00AF014F">
      <w:pPr>
        <w:widowControl w:val="0"/>
        <w:autoSpaceDE w:val="0"/>
        <w:autoSpaceDN w:val="0"/>
        <w:adjustRightInd w:val="0"/>
        <w:ind w:left="720"/>
        <w:rPr>
          <w:i/>
        </w:rPr>
      </w:pPr>
      <w:r w:rsidRPr="002F5F78">
        <w:rPr>
          <w:i/>
        </w:rPr>
        <w:t>Southeastern United States: The area designated as critical habitat in these waters encompasses waters between 31 deg.15</w:t>
      </w:r>
      <w:r>
        <w:rPr>
          <w:i/>
        </w:rPr>
        <w:t>’</w:t>
      </w:r>
      <w:r w:rsidRPr="002F5F78">
        <w:rPr>
          <w:i/>
        </w:rPr>
        <w:t>N (approximately located at the mouth of the Altamaha River, GA) and 30 deg.15</w:t>
      </w:r>
      <w:r>
        <w:rPr>
          <w:i/>
        </w:rPr>
        <w:t>’</w:t>
      </w:r>
      <w:r w:rsidRPr="002F5F78">
        <w:rPr>
          <w:i/>
        </w:rPr>
        <w:t>N (approximately Jacksonville, FL) from the shoreline out to 15 nautical miles offshore; and the waters between 30 deg.15</w:t>
      </w:r>
      <w:r>
        <w:rPr>
          <w:i/>
        </w:rPr>
        <w:t>’</w:t>
      </w:r>
      <w:r w:rsidRPr="002F5F78">
        <w:rPr>
          <w:i/>
        </w:rPr>
        <w:t>N and 28 deg.00</w:t>
      </w:r>
      <w:r>
        <w:rPr>
          <w:i/>
        </w:rPr>
        <w:t>’</w:t>
      </w:r>
      <w:r w:rsidRPr="002F5F78">
        <w:rPr>
          <w:i/>
        </w:rPr>
        <w:t>N (approximately Sebastian Inlet, FL) from the shoreline out to 5 nautical miles.</w:t>
      </w:r>
    </w:p>
    <w:p w:rsidR="00AF014F" w:rsidRPr="008B0C18" w:rsidRDefault="00AF014F" w:rsidP="00AF014F">
      <w:pPr>
        <w:rPr>
          <w:rStyle w:val="Heading3Char"/>
          <w:rFonts w:eastAsiaTheme="minorHAnsi" w:cs="Times New Roman"/>
          <w:b w:val="0"/>
          <w:szCs w:val="24"/>
        </w:rPr>
      </w:pPr>
    </w:p>
    <w:p w:rsidR="00AF014F" w:rsidRDefault="00AF014F" w:rsidP="00AF014F">
      <w:pPr>
        <w:rPr>
          <w:iCs/>
        </w:rPr>
      </w:pPr>
      <w:r w:rsidRPr="00E87D40">
        <w:rPr>
          <w:iCs/>
        </w:rPr>
        <w:t>Note</w:t>
      </w:r>
      <w:r>
        <w:rPr>
          <w:iCs/>
        </w:rPr>
        <w:t>:</w:t>
      </w:r>
      <w:r w:rsidRPr="00E87D40">
        <w:rPr>
          <w:iCs/>
        </w:rPr>
        <w:t xml:space="preserve"> </w:t>
      </w:r>
      <w:r>
        <w:rPr>
          <w:iCs/>
        </w:rPr>
        <w:t>F</w:t>
      </w:r>
      <w:r w:rsidRPr="00E87D40">
        <w:rPr>
          <w:iCs/>
        </w:rPr>
        <w:t>ederal regulations</w:t>
      </w:r>
      <w:r>
        <w:rPr>
          <w:iCs/>
        </w:rPr>
        <w:t xml:space="preserve"> would</w:t>
      </w:r>
      <w:r w:rsidRPr="00E87D40">
        <w:rPr>
          <w:iCs/>
        </w:rPr>
        <w:t xml:space="preserve"> only </w:t>
      </w:r>
      <w:r>
        <w:rPr>
          <w:iCs/>
        </w:rPr>
        <w:t>apply to that portion of the area within</w:t>
      </w:r>
      <w:r w:rsidRPr="00E87D40">
        <w:rPr>
          <w:iCs/>
        </w:rPr>
        <w:t xml:space="preserve"> the South Atlantic EEZ</w:t>
      </w:r>
      <w:r w:rsidR="000242E5">
        <w:rPr>
          <w:iCs/>
        </w:rPr>
        <w:fldChar w:fldCharType="begin"/>
      </w:r>
      <w:r>
        <w:instrText xml:space="preserve"> XE "</w:instrText>
      </w:r>
      <w:r w:rsidRPr="000E2ACD">
        <w:instrText>South Atlantic EEZ</w:instrText>
      </w:r>
      <w:r>
        <w:instrText xml:space="preserve">" </w:instrText>
      </w:r>
      <w:r w:rsidR="000242E5">
        <w:rPr>
          <w:iCs/>
        </w:rPr>
        <w:fldChar w:fldCharType="end"/>
      </w:r>
      <w:r w:rsidRPr="00E87D40">
        <w:rPr>
          <w:iCs/>
        </w:rPr>
        <w:t xml:space="preserve">.  The states will be asked to </w:t>
      </w:r>
      <w:r>
        <w:rPr>
          <w:iCs/>
        </w:rPr>
        <w:t>implement compatible</w:t>
      </w:r>
      <w:r w:rsidRPr="00E87D40">
        <w:rPr>
          <w:iCs/>
        </w:rPr>
        <w:t xml:space="preserve"> regulations </w:t>
      </w:r>
      <w:r>
        <w:rPr>
          <w:iCs/>
        </w:rPr>
        <w:t>with</w:t>
      </w:r>
      <w:r w:rsidRPr="00E87D40">
        <w:rPr>
          <w:iCs/>
        </w:rPr>
        <w:t>in state waters.</w:t>
      </w:r>
    </w:p>
    <w:p w:rsidR="00AF014F" w:rsidRDefault="00AF014F" w:rsidP="00AF014F">
      <w:pPr>
        <w:rPr>
          <w:iCs/>
        </w:rPr>
      </w:pPr>
    </w:p>
    <w:p w:rsidR="00AF014F" w:rsidRPr="002F5F78" w:rsidRDefault="00AF014F" w:rsidP="00AF014F">
      <w:pPr>
        <w:rPr>
          <w:i/>
        </w:rPr>
      </w:pPr>
    </w:p>
    <w:p w:rsidR="00AF014F" w:rsidRDefault="00AF014F" w:rsidP="00AF014F">
      <w:pPr>
        <w:rPr>
          <w:b/>
          <w:iCs/>
        </w:rPr>
      </w:pPr>
    </w:p>
    <w:p w:rsidR="00AF014F" w:rsidRDefault="00AF014F" w:rsidP="00AF014F">
      <w:pPr>
        <w:rPr>
          <w:rStyle w:val="Heading3Char"/>
          <w:rFonts w:eastAsiaTheme="minorHAnsi" w:cs="Times New Roman"/>
          <w:b w:val="0"/>
          <w:szCs w:val="24"/>
        </w:rPr>
      </w:pPr>
    </w:p>
    <w:p w:rsidR="00AF014F" w:rsidRDefault="00AF014F" w:rsidP="00AF014F">
      <w:pPr>
        <w:rPr>
          <w:rStyle w:val="Heading3Char"/>
          <w:rFonts w:eastAsiaTheme="minorHAnsi" w:cs="Times New Roman"/>
          <w:b w:val="0"/>
          <w:szCs w:val="24"/>
        </w:rPr>
      </w:pPr>
    </w:p>
    <w:p w:rsidR="00AF014F" w:rsidRDefault="00AF014F" w:rsidP="00AF014F">
      <w:pPr>
        <w:rPr>
          <w:rStyle w:val="Heading3Char"/>
          <w:rFonts w:eastAsiaTheme="minorHAnsi"/>
          <w:b w:val="0"/>
          <w:bCs w:val="0"/>
        </w:rPr>
      </w:pPr>
      <w:r>
        <w:rPr>
          <w:rStyle w:val="Heading3Char"/>
          <w:rFonts w:eastAsiaTheme="minorHAnsi"/>
          <w:b w:val="0"/>
          <w:bCs w:val="0"/>
        </w:rPr>
        <w:br w:type="page"/>
      </w:r>
    </w:p>
    <w:p w:rsidR="00AF014F" w:rsidRPr="00FC6161" w:rsidRDefault="00AF014F" w:rsidP="00AF014F">
      <w:pPr>
        <w:pStyle w:val="Figuretitle"/>
        <w:rPr>
          <w:rStyle w:val="Heading3Char"/>
          <w:rFonts w:eastAsiaTheme="minorHAnsi"/>
          <w:b w:val="0"/>
          <w:bCs w:val="0"/>
        </w:rPr>
      </w:pPr>
      <w:r w:rsidRPr="007B4E1B">
        <w:rPr>
          <w:rFonts w:ascii="Arial" w:hAnsi="Arial" w:cs="Arial"/>
          <w:b/>
          <w:noProof/>
          <w:sz w:val="20"/>
          <w:szCs w:val="20"/>
        </w:rPr>
        <w:lastRenderedPageBreak/>
        <w:drawing>
          <wp:anchor distT="0" distB="0" distL="114300" distR="114300" simplePos="0" relativeHeight="251672064" behindDoc="1" locked="0" layoutInCell="1" allowOverlap="1">
            <wp:simplePos x="0" y="0"/>
            <wp:positionH relativeFrom="column">
              <wp:posOffset>381000</wp:posOffset>
            </wp:positionH>
            <wp:positionV relativeFrom="paragraph">
              <wp:posOffset>114300</wp:posOffset>
            </wp:positionV>
            <wp:extent cx="4535170" cy="6122035"/>
            <wp:effectExtent l="0" t="0" r="11430" b="0"/>
            <wp:wrapTight wrapText="bothSides">
              <wp:wrapPolygon edited="0">
                <wp:start x="0" y="0"/>
                <wp:lineTo x="0" y="21508"/>
                <wp:lineTo x="21533" y="21508"/>
                <wp:lineTo x="2153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7412"/>
                    <a:stretch/>
                  </pic:blipFill>
                  <pic:spPr bwMode="auto">
                    <a:xfrm>
                      <a:off x="0" y="0"/>
                      <a:ext cx="4535170" cy="6122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AF014F" w:rsidRPr="005344B0" w:rsidRDefault="00AF014F" w:rsidP="00AF014F">
      <w:pPr>
        <w:rPr>
          <w:rFonts w:ascii="Arial" w:hAnsi="Arial" w:cs="Arial"/>
          <w:sz w:val="26"/>
          <w:szCs w:val="26"/>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rPr>
          <w:b/>
          <w:iCs/>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Default="00AF014F" w:rsidP="00AF014F">
      <w:pPr>
        <w:pStyle w:val="Figuretitle"/>
        <w:rPr>
          <w:rStyle w:val="Heading3Char"/>
          <w:rFonts w:eastAsiaTheme="minorHAnsi"/>
          <w:bCs w:val="0"/>
          <w:sz w:val="20"/>
          <w:szCs w:val="20"/>
        </w:rPr>
      </w:pPr>
    </w:p>
    <w:p w:rsidR="00AF014F" w:rsidRPr="00E34FB0" w:rsidRDefault="00AF014F" w:rsidP="00AF014F">
      <w:pPr>
        <w:pStyle w:val="Figuretitle"/>
        <w:rPr>
          <w:rFonts w:ascii="Arial" w:hAnsi="Arial" w:cs="Arial"/>
          <w:sz w:val="20"/>
          <w:szCs w:val="20"/>
        </w:rPr>
      </w:pPr>
      <w:bookmarkStart w:id="0" w:name="_Toc302115346"/>
      <w:proofErr w:type="gramStart"/>
      <w:r w:rsidRPr="00E34FB0">
        <w:rPr>
          <w:rStyle w:val="Heading3Char"/>
          <w:rFonts w:eastAsiaTheme="minorHAnsi"/>
          <w:bCs w:val="0"/>
          <w:sz w:val="20"/>
          <w:szCs w:val="20"/>
        </w:rPr>
        <w:t>Figure 2.1.1.</w:t>
      </w:r>
      <w:proofErr w:type="gramEnd"/>
      <w:r w:rsidRPr="00E34FB0">
        <w:rPr>
          <w:rStyle w:val="Heading3Char"/>
          <w:rFonts w:eastAsiaTheme="minorHAnsi"/>
          <w:b w:val="0"/>
          <w:bCs w:val="0"/>
          <w:sz w:val="20"/>
          <w:szCs w:val="20"/>
        </w:rPr>
        <w:t xml:space="preserve">  </w:t>
      </w:r>
      <w:proofErr w:type="gramStart"/>
      <w:r w:rsidRPr="00E34FB0">
        <w:rPr>
          <w:rStyle w:val="Heading3Char"/>
          <w:rFonts w:eastAsiaTheme="minorHAnsi"/>
          <w:b w:val="0"/>
          <w:bCs w:val="0"/>
          <w:sz w:val="20"/>
          <w:szCs w:val="20"/>
        </w:rPr>
        <w:t>Area for the proposed black sea bass pot closure</w:t>
      </w:r>
      <w:r w:rsidR="000242E5" w:rsidRPr="00E34FB0">
        <w:rPr>
          <w:rStyle w:val="Heading3Char"/>
          <w:rFonts w:eastAsiaTheme="minorHAnsi"/>
          <w:b w:val="0"/>
          <w:bCs w:val="0"/>
          <w:sz w:val="20"/>
          <w:szCs w:val="20"/>
        </w:rPr>
        <w:fldChar w:fldCharType="begin"/>
      </w:r>
      <w:r w:rsidRPr="00E34FB0">
        <w:rPr>
          <w:rFonts w:ascii="Arial" w:hAnsi="Arial" w:cs="Arial"/>
          <w:sz w:val="20"/>
          <w:szCs w:val="20"/>
        </w:rPr>
        <w:instrText xml:space="preserve"> XE "</w:instrText>
      </w:r>
      <w:r w:rsidRPr="00E34FB0">
        <w:rPr>
          <w:rStyle w:val="FiguretitleChar1"/>
          <w:rFonts w:ascii="Arial" w:eastAsiaTheme="minorHAnsi" w:hAnsi="Arial" w:cs="Arial"/>
          <w:sz w:val="20"/>
          <w:szCs w:val="20"/>
        </w:rPr>
        <w:instrText>black sea bass pot closure</w:instrText>
      </w:r>
      <w:r w:rsidRPr="00E34FB0">
        <w:rPr>
          <w:rFonts w:ascii="Arial" w:hAnsi="Arial" w:cs="Arial"/>
          <w:sz w:val="20"/>
          <w:szCs w:val="20"/>
        </w:rPr>
        <w:instrText xml:space="preserve">" </w:instrText>
      </w:r>
      <w:r w:rsidR="000242E5" w:rsidRPr="00E34FB0">
        <w:rPr>
          <w:rStyle w:val="Heading3Char"/>
          <w:rFonts w:eastAsiaTheme="minorHAnsi"/>
          <w:b w:val="0"/>
          <w:bCs w:val="0"/>
          <w:sz w:val="20"/>
          <w:szCs w:val="20"/>
        </w:rPr>
        <w:fldChar w:fldCharType="end"/>
      </w:r>
      <w:r w:rsidRPr="00E34FB0">
        <w:rPr>
          <w:rStyle w:val="Heading3Char"/>
          <w:rFonts w:eastAsiaTheme="minorHAnsi"/>
          <w:b w:val="0"/>
          <w:bCs w:val="0"/>
          <w:sz w:val="20"/>
          <w:szCs w:val="20"/>
        </w:rPr>
        <w:t xml:space="preserve"> in </w:t>
      </w:r>
      <w:r w:rsidRPr="00E34FB0">
        <w:rPr>
          <w:rStyle w:val="Heading3Char"/>
          <w:rFonts w:eastAsiaTheme="minorHAnsi"/>
          <w:bCs w:val="0"/>
          <w:sz w:val="20"/>
          <w:szCs w:val="20"/>
        </w:rPr>
        <w:t>Alternative 2</w:t>
      </w:r>
      <w:r w:rsidRPr="00E34FB0">
        <w:rPr>
          <w:rStyle w:val="Heading3Char"/>
          <w:rFonts w:eastAsiaTheme="minorHAnsi"/>
          <w:b w:val="0"/>
          <w:bCs w:val="0"/>
          <w:sz w:val="20"/>
          <w:szCs w:val="20"/>
        </w:rPr>
        <w:t>.</w:t>
      </w:r>
      <w:bookmarkEnd w:id="0"/>
      <w:proofErr w:type="gramEnd"/>
    </w:p>
    <w:p w:rsidR="00AF014F" w:rsidRPr="00E34FB0" w:rsidRDefault="00AF014F" w:rsidP="00AF014F">
      <w:pPr>
        <w:rPr>
          <w:iCs/>
          <w:sz w:val="20"/>
          <w:szCs w:val="20"/>
        </w:rPr>
      </w:pPr>
      <w:r w:rsidRPr="00E34FB0">
        <w:rPr>
          <w:iCs/>
          <w:sz w:val="20"/>
          <w:szCs w:val="20"/>
        </w:rPr>
        <w:t xml:space="preserve">Source:  </w:t>
      </w:r>
      <w:hyperlink r:id="rId10" w:history="1">
        <w:r w:rsidRPr="00E34FB0">
          <w:rPr>
            <w:rStyle w:val="Hyperlink"/>
            <w:sz w:val="20"/>
            <w:szCs w:val="20"/>
          </w:rPr>
          <w:t>http://www.fisheries.noaa.gov/pr/pdfs/criticalhabitat/northatlanticrightwhale.pdf</w:t>
        </w:r>
      </w:hyperlink>
    </w:p>
    <w:p w:rsidR="00AF014F" w:rsidRDefault="00AF014F" w:rsidP="00AF014F">
      <w:pPr>
        <w:rPr>
          <w:iCs/>
        </w:rPr>
      </w:pPr>
    </w:p>
    <w:p w:rsidR="00AF014F" w:rsidRDefault="00AF014F" w:rsidP="00AF014F">
      <w:pPr>
        <w:rPr>
          <w:iCs/>
        </w:rPr>
      </w:pPr>
    </w:p>
    <w:p w:rsidR="00AF014F" w:rsidRPr="00E87D40" w:rsidRDefault="00AF014F" w:rsidP="00AF014F">
      <w:pPr>
        <w:rPr>
          <w:iCs/>
        </w:rPr>
      </w:pPr>
      <w:r w:rsidRPr="00E87D40">
        <w:rPr>
          <w:iCs/>
        </w:rPr>
        <w:br w:type="page"/>
      </w:r>
    </w:p>
    <w:p w:rsidR="00AF014F" w:rsidRDefault="00AF014F" w:rsidP="00AF014F">
      <w:pPr>
        <w:rPr>
          <w:iCs/>
        </w:rPr>
      </w:pPr>
      <w:proofErr w:type="gramStart"/>
      <w:r w:rsidRPr="008B0C18">
        <w:rPr>
          <w:b/>
          <w:iCs/>
        </w:rPr>
        <w:lastRenderedPageBreak/>
        <w:t xml:space="preserve">Alternative </w:t>
      </w:r>
      <w:r>
        <w:rPr>
          <w:b/>
          <w:iCs/>
        </w:rPr>
        <w:t>3</w:t>
      </w:r>
      <w:r w:rsidRPr="008B0C18">
        <w:rPr>
          <w:b/>
          <w:iCs/>
        </w:rPr>
        <w:t>.</w:t>
      </w:r>
      <w:proofErr w:type="gramEnd"/>
      <w:r w:rsidRPr="008B0C18">
        <w:rPr>
          <w:iCs/>
        </w:rPr>
        <w:t xml:space="preserve">  The black sea bass pot closure</w:t>
      </w:r>
      <w:r w:rsidR="000242E5">
        <w:rPr>
          <w:iCs/>
        </w:rPr>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rPr>
          <w:iCs/>
        </w:rPr>
        <w:fldChar w:fldCharType="end"/>
      </w:r>
      <w:r w:rsidRPr="008B0C18">
        <w:rPr>
          <w:iCs/>
        </w:rPr>
        <w:t xml:space="preserve"> applies to waters inshore of points 1-15 listed below </w:t>
      </w:r>
      <w:r w:rsidRPr="008B0C18">
        <w:rPr>
          <w:b/>
          <w:iCs/>
        </w:rPr>
        <w:t>(Table 2.1.1)</w:t>
      </w:r>
      <w:r w:rsidRPr="008B0C18">
        <w:rPr>
          <w:iCs/>
        </w:rPr>
        <w:t xml:space="preserve">; approximately Ponce Inlet, Florida, to Cape Hatteras, North Carolina </w:t>
      </w:r>
      <w:r w:rsidRPr="008B0C18">
        <w:rPr>
          <w:b/>
          <w:iCs/>
        </w:rPr>
        <w:t>(Figure 2.1.2)</w:t>
      </w:r>
      <w:r w:rsidRPr="008B0C18">
        <w:rPr>
          <w:iCs/>
        </w:rPr>
        <w:t xml:space="preserve">.  The closure applies to the area annually from November 1 through April 30. </w:t>
      </w:r>
    </w:p>
    <w:p w:rsidR="00AF014F" w:rsidRDefault="00AF014F" w:rsidP="00AF014F">
      <w:pPr>
        <w:rPr>
          <w:b/>
          <w:iCs/>
        </w:rPr>
      </w:pPr>
    </w:p>
    <w:p w:rsidR="00AF014F" w:rsidRDefault="00AF014F" w:rsidP="00AF014F">
      <w:pPr>
        <w:rPr>
          <w:color w:val="000000"/>
        </w:rPr>
      </w:pPr>
      <w:r w:rsidRPr="008B0C18">
        <w:t xml:space="preserve">This area likely represents </w:t>
      </w:r>
      <w:r w:rsidRPr="008B0C18">
        <w:rPr>
          <w:color w:val="000000"/>
        </w:rPr>
        <w:t>North Atlantic right whale calving habitat</w:t>
      </w:r>
      <w:r w:rsidR="000242E5">
        <w:rPr>
          <w:color w:val="000000"/>
        </w:rPr>
        <w:fldChar w:fldCharType="begin"/>
      </w:r>
      <w:r>
        <w:instrText xml:space="preserve"> XE "</w:instrText>
      </w:r>
      <w:r w:rsidRPr="00761DE1">
        <w:rPr>
          <w:color w:val="000000"/>
        </w:rPr>
        <w:instrText>North Atlantic right whale calving habitat</w:instrText>
      </w:r>
      <w:r>
        <w:instrText xml:space="preserve">" </w:instrText>
      </w:r>
      <w:r w:rsidR="000242E5">
        <w:rPr>
          <w:color w:val="000000"/>
        </w:rPr>
        <w:fldChar w:fldCharType="end"/>
      </w:r>
      <w:r w:rsidRPr="008B0C18">
        <w:rPr>
          <w:color w:val="000000"/>
        </w:rPr>
        <w:t xml:space="preserve">.  The area </w:t>
      </w:r>
      <w:r w:rsidRPr="008B0C18">
        <w:t xml:space="preserve">identified </w:t>
      </w:r>
      <w:r w:rsidRPr="008B0C18">
        <w:rPr>
          <w:color w:val="000000"/>
        </w:rPr>
        <w:t xml:space="preserve">from Cape Fear, North Carolina, southward to 29°N (approximately </w:t>
      </w:r>
      <w:r w:rsidRPr="008B0C18">
        <w:rPr>
          <w:iCs/>
        </w:rPr>
        <w:t xml:space="preserve">Ponce Inlet, Florida) is </w:t>
      </w:r>
      <w:r w:rsidRPr="008B0C18">
        <w:rPr>
          <w:color w:val="000000"/>
        </w:rPr>
        <w:t>based on m</w:t>
      </w:r>
      <w:r w:rsidRPr="008B0C18">
        <w:t xml:space="preserve">odel outputs (i.e., </w:t>
      </w:r>
      <w:r w:rsidRPr="008B0C18">
        <w:rPr>
          <w:color w:val="000000"/>
        </w:rPr>
        <w:t>Garrison 2007, Keller et al. 2012, Good 2008).  The area from Cape Fear, North Carolina, to Cape Hatteras, North Carolina, is an extrapolation of those model outputs and based on sea surface temperatures and bathymetry.</w:t>
      </w:r>
    </w:p>
    <w:p w:rsidR="00AF014F" w:rsidRDefault="00AF014F" w:rsidP="00AF014F">
      <w:pPr>
        <w:rPr>
          <w:b/>
          <w:iCs/>
        </w:rPr>
      </w:pPr>
    </w:p>
    <w:p w:rsidR="00AF014F" w:rsidRDefault="00AF014F" w:rsidP="00AF014F">
      <w:pPr>
        <w:rPr>
          <w:iCs/>
        </w:rPr>
      </w:pPr>
      <w:r w:rsidRPr="00E87D40">
        <w:rPr>
          <w:iCs/>
        </w:rPr>
        <w:t>Note</w:t>
      </w:r>
      <w:r>
        <w:rPr>
          <w:iCs/>
        </w:rPr>
        <w:t>:</w:t>
      </w:r>
      <w:r w:rsidRPr="00E87D40">
        <w:rPr>
          <w:iCs/>
        </w:rPr>
        <w:t xml:space="preserve"> </w:t>
      </w:r>
      <w:r>
        <w:rPr>
          <w:iCs/>
        </w:rPr>
        <w:t>F</w:t>
      </w:r>
      <w:r w:rsidRPr="00E87D40">
        <w:rPr>
          <w:iCs/>
        </w:rPr>
        <w:t>ederal regulations</w:t>
      </w:r>
      <w:r>
        <w:rPr>
          <w:iCs/>
        </w:rPr>
        <w:t xml:space="preserve"> would</w:t>
      </w:r>
      <w:r w:rsidRPr="00E87D40">
        <w:rPr>
          <w:iCs/>
        </w:rPr>
        <w:t xml:space="preserve"> only </w:t>
      </w:r>
      <w:r>
        <w:rPr>
          <w:iCs/>
        </w:rPr>
        <w:t>apply to that portion of the area within</w:t>
      </w:r>
      <w:r w:rsidRPr="00E87D40">
        <w:rPr>
          <w:iCs/>
        </w:rPr>
        <w:t xml:space="preserve"> the South Atlantic EEZ</w:t>
      </w:r>
      <w:r w:rsidR="000242E5">
        <w:rPr>
          <w:iCs/>
        </w:rPr>
        <w:fldChar w:fldCharType="begin"/>
      </w:r>
      <w:r>
        <w:instrText xml:space="preserve"> XE "</w:instrText>
      </w:r>
      <w:r w:rsidRPr="000E2ACD">
        <w:instrText>South Atlantic EEZ</w:instrText>
      </w:r>
      <w:r>
        <w:instrText xml:space="preserve">" </w:instrText>
      </w:r>
      <w:r w:rsidR="000242E5">
        <w:rPr>
          <w:iCs/>
        </w:rPr>
        <w:fldChar w:fldCharType="end"/>
      </w:r>
      <w:r w:rsidRPr="00E87D40">
        <w:rPr>
          <w:iCs/>
        </w:rPr>
        <w:t xml:space="preserve">.  The states will be asked to </w:t>
      </w:r>
      <w:r>
        <w:rPr>
          <w:iCs/>
        </w:rPr>
        <w:t>implement compatible</w:t>
      </w:r>
      <w:r w:rsidRPr="00E87D40">
        <w:rPr>
          <w:iCs/>
        </w:rPr>
        <w:t xml:space="preserve"> regulations </w:t>
      </w:r>
      <w:r>
        <w:rPr>
          <w:iCs/>
        </w:rPr>
        <w:t>with</w:t>
      </w:r>
      <w:r w:rsidRPr="00E87D40">
        <w:rPr>
          <w:iCs/>
        </w:rPr>
        <w:t>in state waters.</w:t>
      </w:r>
    </w:p>
    <w:p w:rsidR="00AF014F" w:rsidRPr="008B0C18" w:rsidRDefault="00AF014F" w:rsidP="00AF014F">
      <w:pPr>
        <w:rPr>
          <w:iCs/>
        </w:rPr>
      </w:pPr>
    </w:p>
    <w:p w:rsidR="00AF014F" w:rsidRPr="001C3CD3" w:rsidRDefault="00AF014F" w:rsidP="00AF014F">
      <w:pPr>
        <w:pStyle w:val="Tabletitle"/>
      </w:pPr>
      <w:bookmarkStart w:id="1" w:name="_Toc302115470"/>
      <w:proofErr w:type="gramStart"/>
      <w:r w:rsidRPr="000B5BFC">
        <w:t>Table 2.1.1.</w:t>
      </w:r>
      <w:proofErr w:type="gramEnd"/>
      <w:r w:rsidRPr="000B5BFC">
        <w:t xml:space="preserve">  </w:t>
      </w:r>
      <w:r w:rsidRPr="005664A1">
        <w:rPr>
          <w:b w:val="0"/>
        </w:rPr>
        <w:t xml:space="preserve">Eastern </w:t>
      </w:r>
      <w:r>
        <w:rPr>
          <w:b w:val="0"/>
        </w:rPr>
        <w:t>boundary coordinates for the proposed black sea bass pot c</w:t>
      </w:r>
      <w:r w:rsidRPr="005664A1">
        <w:rPr>
          <w:b w:val="0"/>
        </w:rPr>
        <w:t>losure</w:t>
      </w:r>
      <w:r w:rsidR="000242E5">
        <w:rPr>
          <w:b w:val="0"/>
        </w:rPr>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rPr>
          <w:b w:val="0"/>
        </w:rPr>
        <w:fldChar w:fldCharType="end"/>
      </w:r>
      <w:r w:rsidRPr="005664A1">
        <w:rPr>
          <w:b w:val="0"/>
        </w:rPr>
        <w:t xml:space="preserve"> in </w:t>
      </w:r>
      <w:r w:rsidRPr="004F2675">
        <w:t>Alternative 3</w:t>
      </w:r>
      <w:r w:rsidRPr="005664A1">
        <w:rPr>
          <w:b w:val="0"/>
        </w:rPr>
        <w:t>.</w:t>
      </w:r>
      <w:bookmarkEnd w:id="1"/>
      <w:r w:rsidRPr="005664A1">
        <w:rPr>
          <w:b w:val="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2132"/>
        <w:gridCol w:w="2356"/>
      </w:tblGrid>
      <w:tr w:rsidR="00AF014F" w:rsidRPr="00DC71BC" w:rsidTr="00AF014F">
        <w:trPr>
          <w:trHeight w:val="540"/>
        </w:trPr>
        <w:tc>
          <w:tcPr>
            <w:tcW w:w="0" w:type="auto"/>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br w:type="page"/>
              <w:t>Point</w:t>
            </w:r>
          </w:p>
        </w:tc>
        <w:tc>
          <w:tcPr>
            <w:tcW w:w="2132"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t>N Latitude</w:t>
            </w:r>
          </w:p>
        </w:tc>
        <w:tc>
          <w:tcPr>
            <w:tcW w:w="2356"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t>W Longitude</w:t>
            </w:r>
          </w:p>
        </w:tc>
      </w:tr>
      <w:tr w:rsidR="00AF014F" w:rsidRPr="00DC71BC" w:rsidTr="00AF014F">
        <w:trPr>
          <w:trHeight w:val="332"/>
        </w:trPr>
        <w:tc>
          <w:tcPr>
            <w:tcW w:w="0" w:type="auto"/>
            <w:vAlign w:val="center"/>
          </w:tcPr>
          <w:p w:rsidR="00AF014F" w:rsidRPr="006F70F2" w:rsidRDefault="00AF014F" w:rsidP="00AF014F">
            <w:pPr>
              <w:jc w:val="center"/>
              <w:rPr>
                <w:rFonts w:ascii="Arial" w:hAnsi="Arial" w:cs="Arial"/>
              </w:rPr>
            </w:pPr>
            <w:r w:rsidRPr="006F70F2">
              <w:rPr>
                <w:rFonts w:ascii="Arial" w:hAnsi="Arial" w:cs="Arial"/>
                <w:sz w:val="22"/>
              </w:rPr>
              <w:t>1</w:t>
            </w:r>
          </w:p>
        </w:tc>
        <w:tc>
          <w:tcPr>
            <w:tcW w:w="2132" w:type="dxa"/>
            <w:vAlign w:val="center"/>
          </w:tcPr>
          <w:p w:rsidR="00AF014F" w:rsidRPr="006F70F2" w:rsidRDefault="00AF014F" w:rsidP="00AF014F">
            <w:pPr>
              <w:jc w:val="center"/>
              <w:rPr>
                <w:rFonts w:ascii="Arial" w:hAnsi="Arial" w:cs="Arial"/>
              </w:rPr>
            </w:pPr>
            <w:r w:rsidRPr="006F70F2">
              <w:rPr>
                <w:rFonts w:ascii="Arial" w:hAnsi="Arial" w:cs="Arial"/>
                <w:sz w:val="22"/>
              </w:rPr>
              <w:t>35°15′ N</w:t>
            </w:r>
          </w:p>
        </w:tc>
        <w:tc>
          <w:tcPr>
            <w:tcW w:w="2356" w:type="dxa"/>
            <w:vAlign w:val="center"/>
          </w:tcPr>
          <w:p w:rsidR="00AF014F" w:rsidRPr="006F70F2" w:rsidRDefault="00AF014F" w:rsidP="00AF014F">
            <w:pPr>
              <w:jc w:val="center"/>
              <w:rPr>
                <w:rFonts w:ascii="Arial" w:hAnsi="Arial" w:cs="Arial"/>
              </w:rPr>
            </w:pPr>
            <w:r w:rsidRPr="006F70F2">
              <w:rPr>
                <w:rFonts w:ascii="Arial" w:hAnsi="Arial" w:cs="Arial"/>
                <w:sz w:val="22"/>
              </w:rPr>
              <w:t>State/EEZ boundary</w:t>
            </w:r>
          </w:p>
        </w:tc>
      </w:tr>
      <w:tr w:rsidR="00AF014F" w:rsidRPr="00DC71BC" w:rsidTr="00AF014F">
        <w:trPr>
          <w:trHeight w:val="270"/>
        </w:trPr>
        <w:tc>
          <w:tcPr>
            <w:tcW w:w="0" w:type="auto"/>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2</w:t>
            </w:r>
          </w:p>
        </w:tc>
        <w:tc>
          <w:tcPr>
            <w:tcW w:w="2132" w:type="dxa"/>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35°15</w:t>
            </w:r>
            <w:r>
              <w:rPr>
                <w:rFonts w:ascii="Arial" w:hAnsi="Arial" w:cs="Arial"/>
                <w:sz w:val="22"/>
              </w:rPr>
              <w:t>’</w:t>
            </w:r>
          </w:p>
        </w:tc>
        <w:tc>
          <w:tcPr>
            <w:tcW w:w="2356" w:type="dxa"/>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75°12</w:t>
            </w:r>
            <w:r>
              <w:rPr>
                <w:rFonts w:ascii="Arial" w:hAnsi="Arial" w:cs="Arial"/>
                <w:sz w:val="22"/>
              </w:rPr>
              <w:t>’</w:t>
            </w:r>
          </w:p>
        </w:tc>
      </w:tr>
      <w:tr w:rsidR="00AF014F" w:rsidRPr="00DC71BC" w:rsidTr="00AF014F">
        <w:trPr>
          <w:trHeight w:val="270"/>
        </w:trPr>
        <w:tc>
          <w:tcPr>
            <w:tcW w:w="0" w:type="auto"/>
            <w:vAlign w:val="center"/>
          </w:tcPr>
          <w:p w:rsidR="00AF014F" w:rsidRPr="006F70F2" w:rsidRDefault="00AF014F" w:rsidP="00AF014F">
            <w:pPr>
              <w:jc w:val="center"/>
              <w:rPr>
                <w:rFonts w:ascii="Arial" w:hAnsi="Arial" w:cs="Arial"/>
              </w:rPr>
            </w:pPr>
            <w:r w:rsidRPr="006F70F2">
              <w:rPr>
                <w:rFonts w:ascii="Arial" w:hAnsi="Arial" w:cs="Arial"/>
                <w:sz w:val="22"/>
              </w:rPr>
              <w:t>3</w:t>
            </w:r>
          </w:p>
        </w:tc>
        <w:tc>
          <w:tcPr>
            <w:tcW w:w="2132" w:type="dxa"/>
            <w:vAlign w:val="center"/>
          </w:tcPr>
          <w:p w:rsidR="00AF014F" w:rsidRPr="006F70F2" w:rsidRDefault="00AF014F" w:rsidP="00AF014F">
            <w:pPr>
              <w:jc w:val="center"/>
              <w:rPr>
                <w:rFonts w:ascii="Arial" w:hAnsi="Arial" w:cs="Arial"/>
              </w:rPr>
            </w:pPr>
            <w:r w:rsidRPr="006F70F2">
              <w:rPr>
                <w:rFonts w:ascii="Arial" w:hAnsi="Arial" w:cs="Arial"/>
                <w:sz w:val="22"/>
              </w:rPr>
              <w:t>34°51</w:t>
            </w:r>
            <w:r>
              <w:rPr>
                <w:rFonts w:ascii="Arial" w:hAnsi="Arial" w:cs="Arial"/>
                <w:sz w:val="22"/>
              </w:rPr>
              <w:t>’</w:t>
            </w:r>
          </w:p>
        </w:tc>
        <w:tc>
          <w:tcPr>
            <w:tcW w:w="2356" w:type="dxa"/>
            <w:vAlign w:val="center"/>
          </w:tcPr>
          <w:p w:rsidR="00AF014F" w:rsidRPr="006F70F2" w:rsidRDefault="00AF014F" w:rsidP="00AF014F">
            <w:pPr>
              <w:jc w:val="center"/>
              <w:rPr>
                <w:rFonts w:ascii="Arial" w:hAnsi="Arial" w:cs="Arial"/>
              </w:rPr>
            </w:pPr>
            <w:r w:rsidRPr="006F70F2">
              <w:rPr>
                <w:rFonts w:ascii="Arial" w:hAnsi="Arial" w:cs="Arial"/>
                <w:sz w:val="22"/>
              </w:rPr>
              <w:t>75°45</w:t>
            </w:r>
            <w:r>
              <w:rPr>
                <w:rFonts w:ascii="Arial" w:hAnsi="Arial" w:cs="Arial"/>
                <w:sz w:val="22"/>
              </w:rPr>
              <w:t>’</w:t>
            </w:r>
          </w:p>
        </w:tc>
      </w:tr>
      <w:tr w:rsidR="00AF014F" w:rsidRPr="00DC71BC" w:rsidTr="00AF014F">
        <w:trPr>
          <w:trHeight w:val="270"/>
        </w:trPr>
        <w:tc>
          <w:tcPr>
            <w:tcW w:w="0" w:type="auto"/>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4</w:t>
            </w:r>
          </w:p>
        </w:tc>
        <w:tc>
          <w:tcPr>
            <w:tcW w:w="2132"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34°21</w:t>
            </w:r>
            <w:r>
              <w:rPr>
                <w:rFonts w:ascii="Arial" w:hAnsi="Arial" w:cs="Arial"/>
                <w:sz w:val="22"/>
              </w:rPr>
              <w:t>’</w:t>
            </w:r>
          </w:p>
        </w:tc>
        <w:tc>
          <w:tcPr>
            <w:tcW w:w="2356"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76°18</w:t>
            </w:r>
            <w:r>
              <w:rPr>
                <w:rFonts w:ascii="Arial" w:hAnsi="Arial" w:cs="Arial"/>
                <w:sz w:val="22"/>
              </w:rPr>
              <w:t>’</w:t>
            </w:r>
          </w:p>
        </w:tc>
      </w:tr>
      <w:tr w:rsidR="00AF014F" w:rsidRPr="00DC71BC" w:rsidTr="00AF014F">
        <w:trPr>
          <w:trHeight w:val="270"/>
        </w:trPr>
        <w:tc>
          <w:tcPr>
            <w:tcW w:w="0" w:type="auto"/>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5</w:t>
            </w:r>
          </w:p>
        </w:tc>
        <w:tc>
          <w:tcPr>
            <w:tcW w:w="2132"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34°21</w:t>
            </w:r>
            <w:r>
              <w:rPr>
                <w:rFonts w:ascii="Arial" w:hAnsi="Arial" w:cs="Arial"/>
                <w:sz w:val="22"/>
              </w:rPr>
              <w:t>’</w:t>
            </w:r>
            <w:r w:rsidRPr="006F70F2">
              <w:rPr>
                <w:rFonts w:ascii="Arial" w:hAnsi="Arial" w:cs="Arial"/>
                <w:sz w:val="22"/>
              </w:rPr>
              <w:t xml:space="preserve"> </w:t>
            </w:r>
          </w:p>
        </w:tc>
        <w:tc>
          <w:tcPr>
            <w:tcW w:w="2356"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76°45</w:t>
            </w:r>
            <w:r>
              <w:rPr>
                <w:rFonts w:ascii="Arial" w:hAnsi="Arial" w:cs="Arial"/>
                <w:sz w:val="22"/>
              </w:rPr>
              <w:t>’</w:t>
            </w:r>
          </w:p>
        </w:tc>
      </w:tr>
      <w:tr w:rsidR="00AF014F" w:rsidRPr="00DC71BC" w:rsidTr="00AF014F">
        <w:trPr>
          <w:trHeight w:val="270"/>
        </w:trPr>
        <w:tc>
          <w:tcPr>
            <w:tcW w:w="0" w:type="auto"/>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6</w:t>
            </w:r>
          </w:p>
        </w:tc>
        <w:tc>
          <w:tcPr>
            <w:tcW w:w="2132"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34°12</w:t>
            </w:r>
            <w:r>
              <w:rPr>
                <w:rFonts w:ascii="Arial" w:hAnsi="Arial" w:cs="Arial"/>
                <w:sz w:val="22"/>
              </w:rPr>
              <w:t>’</w:t>
            </w:r>
          </w:p>
        </w:tc>
        <w:tc>
          <w:tcPr>
            <w:tcW w:w="2356"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77°21</w:t>
            </w:r>
            <w:r>
              <w:rPr>
                <w:rFonts w:ascii="Arial" w:hAnsi="Arial" w:cs="Arial"/>
                <w:sz w:val="22"/>
              </w:rPr>
              <w:t>’</w:t>
            </w:r>
          </w:p>
        </w:tc>
      </w:tr>
      <w:tr w:rsidR="00AF014F" w:rsidRPr="00DC71BC" w:rsidTr="00AF014F">
        <w:trPr>
          <w:trHeight w:val="270"/>
        </w:trPr>
        <w:tc>
          <w:tcPr>
            <w:tcW w:w="0" w:type="auto"/>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7</w:t>
            </w:r>
          </w:p>
        </w:tc>
        <w:tc>
          <w:tcPr>
            <w:tcW w:w="2132"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33°37</w:t>
            </w:r>
            <w:r>
              <w:rPr>
                <w:rFonts w:ascii="Arial" w:hAnsi="Arial" w:cs="Arial"/>
                <w:sz w:val="22"/>
              </w:rPr>
              <w:t>’</w:t>
            </w:r>
          </w:p>
        </w:tc>
        <w:tc>
          <w:tcPr>
            <w:tcW w:w="2356"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77°47</w:t>
            </w:r>
          </w:p>
        </w:tc>
      </w:tr>
      <w:tr w:rsidR="00AF014F" w:rsidRPr="00DC71BC" w:rsidTr="00AF014F">
        <w:trPr>
          <w:trHeight w:val="270"/>
        </w:trPr>
        <w:tc>
          <w:tcPr>
            <w:tcW w:w="0" w:type="auto"/>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8</w:t>
            </w:r>
          </w:p>
        </w:tc>
        <w:tc>
          <w:tcPr>
            <w:tcW w:w="2132"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33°28</w:t>
            </w:r>
            <w:r>
              <w:rPr>
                <w:rFonts w:ascii="Arial" w:hAnsi="Arial" w:cs="Arial"/>
                <w:sz w:val="22"/>
              </w:rPr>
              <w:t>’</w:t>
            </w:r>
          </w:p>
        </w:tc>
        <w:tc>
          <w:tcPr>
            <w:tcW w:w="2356"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78°33</w:t>
            </w:r>
          </w:p>
        </w:tc>
      </w:tr>
      <w:tr w:rsidR="00AF014F" w:rsidRPr="00DC71BC" w:rsidTr="00AF014F">
        <w:trPr>
          <w:trHeight w:val="270"/>
        </w:trPr>
        <w:tc>
          <w:tcPr>
            <w:tcW w:w="0" w:type="auto"/>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9</w:t>
            </w:r>
          </w:p>
        </w:tc>
        <w:tc>
          <w:tcPr>
            <w:tcW w:w="2132"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32°59</w:t>
            </w:r>
            <w:r>
              <w:rPr>
                <w:rFonts w:ascii="Arial" w:hAnsi="Arial" w:cs="Arial"/>
                <w:sz w:val="22"/>
              </w:rPr>
              <w:t>’</w:t>
            </w:r>
          </w:p>
        </w:tc>
        <w:tc>
          <w:tcPr>
            <w:tcW w:w="2356"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78°50</w:t>
            </w:r>
            <w:r>
              <w:rPr>
                <w:rFonts w:ascii="Arial" w:hAnsi="Arial" w:cs="Arial"/>
                <w:sz w:val="22"/>
              </w:rPr>
              <w:t>’</w:t>
            </w:r>
          </w:p>
        </w:tc>
      </w:tr>
      <w:tr w:rsidR="00AF014F" w:rsidRPr="00DC71BC" w:rsidTr="00AF014F">
        <w:trPr>
          <w:trHeight w:val="270"/>
        </w:trPr>
        <w:tc>
          <w:tcPr>
            <w:tcW w:w="0" w:type="auto"/>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10</w:t>
            </w:r>
          </w:p>
        </w:tc>
        <w:tc>
          <w:tcPr>
            <w:tcW w:w="2132"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32°17</w:t>
            </w:r>
            <w:r>
              <w:rPr>
                <w:rFonts w:ascii="Arial" w:hAnsi="Arial" w:cs="Arial"/>
                <w:sz w:val="22"/>
              </w:rPr>
              <w:t>’</w:t>
            </w:r>
          </w:p>
        </w:tc>
        <w:tc>
          <w:tcPr>
            <w:tcW w:w="2356"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79°53</w:t>
            </w:r>
            <w:r>
              <w:rPr>
                <w:rFonts w:ascii="Arial" w:hAnsi="Arial" w:cs="Arial"/>
                <w:sz w:val="22"/>
              </w:rPr>
              <w:t>’</w:t>
            </w:r>
          </w:p>
        </w:tc>
      </w:tr>
      <w:tr w:rsidR="00AF014F" w:rsidRPr="00DC71BC" w:rsidTr="00AF014F">
        <w:trPr>
          <w:trHeight w:val="270"/>
        </w:trPr>
        <w:tc>
          <w:tcPr>
            <w:tcW w:w="0" w:type="auto"/>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11</w:t>
            </w:r>
          </w:p>
        </w:tc>
        <w:tc>
          <w:tcPr>
            <w:tcW w:w="2132"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31°31</w:t>
            </w:r>
            <w:r>
              <w:rPr>
                <w:rFonts w:ascii="Arial" w:hAnsi="Arial" w:cs="Arial"/>
                <w:sz w:val="22"/>
              </w:rPr>
              <w:t>’</w:t>
            </w:r>
          </w:p>
        </w:tc>
        <w:tc>
          <w:tcPr>
            <w:tcW w:w="2356"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80°33</w:t>
            </w:r>
            <w:r>
              <w:rPr>
                <w:rFonts w:ascii="Arial" w:hAnsi="Arial" w:cs="Arial"/>
                <w:sz w:val="22"/>
              </w:rPr>
              <w:t>’</w:t>
            </w:r>
          </w:p>
        </w:tc>
      </w:tr>
      <w:tr w:rsidR="00AF014F" w:rsidRPr="00DC71BC" w:rsidTr="00AF014F">
        <w:trPr>
          <w:trHeight w:val="270"/>
        </w:trPr>
        <w:tc>
          <w:tcPr>
            <w:tcW w:w="0" w:type="auto"/>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12</w:t>
            </w:r>
          </w:p>
        </w:tc>
        <w:tc>
          <w:tcPr>
            <w:tcW w:w="2132"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30°43</w:t>
            </w:r>
            <w:r>
              <w:rPr>
                <w:rFonts w:ascii="Arial" w:hAnsi="Arial" w:cs="Arial"/>
                <w:sz w:val="22"/>
              </w:rPr>
              <w:t>’</w:t>
            </w:r>
          </w:p>
        </w:tc>
        <w:tc>
          <w:tcPr>
            <w:tcW w:w="2356"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80°49</w:t>
            </w:r>
            <w:r>
              <w:rPr>
                <w:rFonts w:ascii="Arial" w:hAnsi="Arial" w:cs="Arial"/>
                <w:sz w:val="22"/>
              </w:rPr>
              <w:t>’</w:t>
            </w:r>
          </w:p>
        </w:tc>
      </w:tr>
      <w:tr w:rsidR="00AF014F" w:rsidRPr="00DC71BC" w:rsidTr="00AF014F">
        <w:trPr>
          <w:trHeight w:val="270"/>
        </w:trPr>
        <w:tc>
          <w:tcPr>
            <w:tcW w:w="0" w:type="auto"/>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13</w:t>
            </w:r>
          </w:p>
        </w:tc>
        <w:tc>
          <w:tcPr>
            <w:tcW w:w="2132"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30°30</w:t>
            </w:r>
            <w:r>
              <w:rPr>
                <w:rFonts w:ascii="Arial" w:hAnsi="Arial" w:cs="Arial"/>
                <w:sz w:val="22"/>
              </w:rPr>
              <w:t>’</w:t>
            </w:r>
          </w:p>
        </w:tc>
        <w:tc>
          <w:tcPr>
            <w:tcW w:w="2356"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81°01</w:t>
            </w:r>
            <w:r>
              <w:rPr>
                <w:rFonts w:ascii="Arial" w:hAnsi="Arial" w:cs="Arial"/>
                <w:sz w:val="22"/>
              </w:rPr>
              <w:t>’</w:t>
            </w:r>
          </w:p>
        </w:tc>
      </w:tr>
      <w:tr w:rsidR="00AF014F" w:rsidRPr="00DC71BC" w:rsidTr="00AF014F">
        <w:trPr>
          <w:trHeight w:val="270"/>
        </w:trPr>
        <w:tc>
          <w:tcPr>
            <w:tcW w:w="0" w:type="auto"/>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14</w:t>
            </w:r>
          </w:p>
        </w:tc>
        <w:tc>
          <w:tcPr>
            <w:tcW w:w="2132"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29°45</w:t>
            </w:r>
            <w:r>
              <w:rPr>
                <w:rFonts w:ascii="Arial" w:hAnsi="Arial" w:cs="Arial"/>
                <w:sz w:val="22"/>
              </w:rPr>
              <w:t>’</w:t>
            </w:r>
          </w:p>
        </w:tc>
        <w:tc>
          <w:tcPr>
            <w:tcW w:w="2356" w:type="dxa"/>
            <w:tcBorders>
              <w:bottom w:val="single" w:sz="4" w:space="0" w:color="000000"/>
            </w:tcBorders>
            <w:shd w:val="clear" w:color="auto" w:fill="F2F2F2"/>
            <w:vAlign w:val="center"/>
          </w:tcPr>
          <w:p w:rsidR="00AF014F" w:rsidRPr="006F70F2" w:rsidRDefault="00AF014F" w:rsidP="00AF014F">
            <w:pPr>
              <w:jc w:val="center"/>
              <w:rPr>
                <w:rFonts w:ascii="Arial" w:hAnsi="Arial" w:cs="Arial"/>
              </w:rPr>
            </w:pPr>
            <w:r w:rsidRPr="006F70F2">
              <w:rPr>
                <w:rFonts w:ascii="Arial" w:hAnsi="Arial" w:cs="Arial"/>
                <w:sz w:val="22"/>
              </w:rPr>
              <w:t>81°01</w:t>
            </w:r>
            <w:r>
              <w:rPr>
                <w:rFonts w:ascii="Arial" w:hAnsi="Arial" w:cs="Arial"/>
                <w:sz w:val="22"/>
              </w:rPr>
              <w:t>’</w:t>
            </w:r>
          </w:p>
        </w:tc>
      </w:tr>
      <w:tr w:rsidR="00AF014F" w:rsidRPr="00DC71BC" w:rsidTr="00AF014F">
        <w:trPr>
          <w:trHeight w:val="270"/>
        </w:trPr>
        <w:tc>
          <w:tcPr>
            <w:tcW w:w="0" w:type="auto"/>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15</w:t>
            </w:r>
          </w:p>
        </w:tc>
        <w:tc>
          <w:tcPr>
            <w:tcW w:w="2132"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29°00</w:t>
            </w:r>
            <w:r>
              <w:rPr>
                <w:rFonts w:ascii="Arial" w:hAnsi="Arial" w:cs="Arial"/>
                <w:sz w:val="22"/>
              </w:rPr>
              <w:t>’</w:t>
            </w:r>
          </w:p>
        </w:tc>
        <w:tc>
          <w:tcPr>
            <w:tcW w:w="2356" w:type="dxa"/>
            <w:shd w:val="clear" w:color="auto" w:fill="auto"/>
            <w:vAlign w:val="center"/>
          </w:tcPr>
          <w:p w:rsidR="00AF014F" w:rsidRPr="006F70F2" w:rsidRDefault="00AF014F" w:rsidP="00AF014F">
            <w:pPr>
              <w:jc w:val="center"/>
              <w:rPr>
                <w:rFonts w:ascii="Arial" w:hAnsi="Arial" w:cs="Arial"/>
              </w:rPr>
            </w:pPr>
            <w:r w:rsidRPr="006F70F2">
              <w:rPr>
                <w:rFonts w:ascii="Arial" w:hAnsi="Arial" w:cs="Arial"/>
                <w:sz w:val="22"/>
              </w:rPr>
              <w:t>State/EEZ boundary</w:t>
            </w:r>
          </w:p>
        </w:tc>
      </w:tr>
    </w:tbl>
    <w:p w:rsidR="00AF014F" w:rsidRPr="00E34FB0" w:rsidRDefault="00AF014F" w:rsidP="00AF014F">
      <w:pPr>
        <w:rPr>
          <w:sz w:val="20"/>
          <w:szCs w:val="20"/>
        </w:rPr>
      </w:pPr>
      <w:r w:rsidRPr="00E34FB0">
        <w:rPr>
          <w:iCs/>
          <w:sz w:val="20"/>
          <w:szCs w:val="20"/>
        </w:rPr>
        <w:t>Source: Amanda Frick, NMFS SERO</w:t>
      </w:r>
    </w:p>
    <w:p w:rsidR="00AF014F" w:rsidRDefault="00AF014F" w:rsidP="00AF014F"/>
    <w:p w:rsidR="00AF014F" w:rsidRDefault="00AF014F" w:rsidP="00AF014F">
      <w:pPr>
        <w:rPr>
          <w:b/>
          <w:iCs/>
        </w:rPr>
      </w:pPr>
    </w:p>
    <w:p w:rsidR="00AF014F" w:rsidRDefault="00AF014F" w:rsidP="00AF014F">
      <w:pPr>
        <w:rPr>
          <w:noProof/>
        </w:rPr>
      </w:pPr>
    </w:p>
    <w:p w:rsidR="00AF014F" w:rsidRDefault="00AF014F" w:rsidP="00AF014F">
      <w:pPr>
        <w:rPr>
          <w:b/>
          <w:color w:val="1F497D" w:themeColor="text2"/>
          <w:sz w:val="28"/>
          <w:szCs w:val="28"/>
        </w:rPr>
      </w:pPr>
      <w:r>
        <w:rPr>
          <w:b/>
          <w:noProof/>
          <w:color w:val="1F497D" w:themeColor="text2"/>
          <w:sz w:val="28"/>
          <w:szCs w:val="28"/>
        </w:rPr>
        <w:lastRenderedPageBreak/>
        <w:drawing>
          <wp:inline distT="0" distB="0" distL="0" distR="0">
            <wp:extent cx="5943600" cy="73653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3new.png"/>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7365365"/>
                    </a:xfrm>
                    <a:prstGeom prst="rect">
                      <a:avLst/>
                    </a:prstGeom>
                  </pic:spPr>
                </pic:pic>
              </a:graphicData>
            </a:graphic>
          </wp:inline>
        </w:drawing>
      </w:r>
    </w:p>
    <w:p w:rsidR="00AF014F" w:rsidRPr="005664A1" w:rsidRDefault="00AF014F" w:rsidP="00AF014F">
      <w:pPr>
        <w:pStyle w:val="Figuretitle"/>
        <w:rPr>
          <w:rStyle w:val="Heading3Char"/>
          <w:rFonts w:eastAsiaTheme="minorHAnsi"/>
          <w:b w:val="0"/>
          <w:bCs w:val="0"/>
          <w:sz w:val="20"/>
          <w:szCs w:val="20"/>
        </w:rPr>
      </w:pPr>
      <w:bookmarkStart w:id="2" w:name="_Toc302115347"/>
      <w:proofErr w:type="gramStart"/>
      <w:r w:rsidRPr="005664A1">
        <w:rPr>
          <w:rStyle w:val="Heading3Char"/>
          <w:rFonts w:eastAsiaTheme="minorHAnsi"/>
          <w:bCs w:val="0"/>
          <w:sz w:val="20"/>
          <w:szCs w:val="20"/>
        </w:rPr>
        <w:t>Figure 2.1.2.</w:t>
      </w:r>
      <w:proofErr w:type="gramEnd"/>
      <w:r>
        <w:rPr>
          <w:rStyle w:val="Heading3Char"/>
          <w:rFonts w:eastAsiaTheme="minorHAnsi"/>
          <w:b w:val="0"/>
          <w:bCs w:val="0"/>
          <w:sz w:val="20"/>
          <w:szCs w:val="20"/>
        </w:rPr>
        <w:t xml:space="preserve">  </w:t>
      </w:r>
      <w:proofErr w:type="gramStart"/>
      <w:r>
        <w:rPr>
          <w:rStyle w:val="Heading3Char"/>
          <w:rFonts w:eastAsiaTheme="minorHAnsi"/>
          <w:b w:val="0"/>
          <w:bCs w:val="0"/>
          <w:sz w:val="20"/>
          <w:szCs w:val="20"/>
        </w:rPr>
        <w:t>Area for the proposed black sea bass pot c</w:t>
      </w:r>
      <w:r w:rsidRPr="005664A1">
        <w:rPr>
          <w:rStyle w:val="Heading3Char"/>
          <w:rFonts w:eastAsiaTheme="minorHAnsi"/>
          <w:b w:val="0"/>
          <w:bCs w:val="0"/>
          <w:sz w:val="20"/>
          <w:szCs w:val="20"/>
        </w:rPr>
        <w:t>losure</w:t>
      </w:r>
      <w:r w:rsidR="000242E5">
        <w:rPr>
          <w:rStyle w:val="Heading3Char"/>
          <w:rFonts w:eastAsiaTheme="minorHAnsi"/>
          <w:b w:val="0"/>
          <w:bCs w:val="0"/>
          <w:sz w:val="20"/>
          <w:szCs w:val="20"/>
        </w:rPr>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rPr>
          <w:rStyle w:val="Heading3Char"/>
          <w:rFonts w:eastAsiaTheme="minorHAnsi"/>
          <w:b w:val="0"/>
          <w:bCs w:val="0"/>
          <w:sz w:val="20"/>
          <w:szCs w:val="20"/>
        </w:rPr>
        <w:fldChar w:fldCharType="end"/>
      </w:r>
      <w:r w:rsidRPr="005664A1">
        <w:rPr>
          <w:rStyle w:val="Heading3Char"/>
          <w:rFonts w:eastAsiaTheme="minorHAnsi"/>
          <w:b w:val="0"/>
          <w:bCs w:val="0"/>
          <w:sz w:val="20"/>
          <w:szCs w:val="20"/>
        </w:rPr>
        <w:t xml:space="preserve"> in </w:t>
      </w:r>
      <w:r w:rsidRPr="003B1AEB">
        <w:rPr>
          <w:rStyle w:val="Heading3Char"/>
          <w:rFonts w:eastAsiaTheme="minorHAnsi"/>
          <w:bCs w:val="0"/>
          <w:sz w:val="20"/>
          <w:szCs w:val="20"/>
        </w:rPr>
        <w:t xml:space="preserve">Alternative </w:t>
      </w:r>
      <w:r w:rsidRPr="005D3203">
        <w:rPr>
          <w:rStyle w:val="Heading3Char"/>
          <w:rFonts w:eastAsiaTheme="minorHAnsi"/>
          <w:bCs w:val="0"/>
          <w:sz w:val="20"/>
          <w:szCs w:val="20"/>
        </w:rPr>
        <w:t>3</w:t>
      </w:r>
      <w:r w:rsidRPr="005664A1">
        <w:rPr>
          <w:rStyle w:val="Heading3Char"/>
          <w:rFonts w:eastAsiaTheme="minorHAnsi"/>
          <w:b w:val="0"/>
          <w:bCs w:val="0"/>
          <w:sz w:val="20"/>
          <w:szCs w:val="20"/>
        </w:rPr>
        <w:t>.</w:t>
      </w:r>
      <w:bookmarkEnd w:id="2"/>
      <w:proofErr w:type="gramEnd"/>
    </w:p>
    <w:p w:rsidR="00AF014F" w:rsidRPr="00E34FB0" w:rsidRDefault="00AF014F" w:rsidP="00AF014F">
      <w:pPr>
        <w:rPr>
          <w:sz w:val="20"/>
          <w:szCs w:val="20"/>
        </w:rPr>
      </w:pPr>
      <w:r w:rsidRPr="00E34FB0">
        <w:rPr>
          <w:iCs/>
          <w:sz w:val="20"/>
          <w:szCs w:val="20"/>
        </w:rPr>
        <w:t>Source: Amanda Frick, NMFS SERO</w:t>
      </w:r>
      <w:r w:rsidRPr="00E34FB0">
        <w:rPr>
          <w:b/>
          <w:color w:val="1F497D" w:themeColor="text2"/>
          <w:sz w:val="20"/>
          <w:szCs w:val="20"/>
        </w:rPr>
        <w:br w:type="page"/>
      </w:r>
    </w:p>
    <w:p w:rsidR="00AF014F" w:rsidRPr="00DC71BC" w:rsidRDefault="00AF014F" w:rsidP="00AF014F">
      <w:pPr>
        <w:rPr>
          <w:iCs/>
        </w:rPr>
      </w:pPr>
      <w:proofErr w:type="gramStart"/>
      <w:r w:rsidRPr="00DC71BC">
        <w:rPr>
          <w:b/>
          <w:iCs/>
        </w:rPr>
        <w:lastRenderedPageBreak/>
        <w:t xml:space="preserve">Alternative </w:t>
      </w:r>
      <w:r>
        <w:rPr>
          <w:b/>
          <w:iCs/>
        </w:rPr>
        <w:t>4</w:t>
      </w:r>
      <w:r w:rsidRPr="00DC71BC">
        <w:rPr>
          <w:b/>
          <w:iCs/>
        </w:rPr>
        <w:t>.</w:t>
      </w:r>
      <w:proofErr w:type="gramEnd"/>
      <w:r w:rsidRPr="00DC71BC">
        <w:rPr>
          <w:iCs/>
        </w:rPr>
        <w:t xml:space="preserve">  The black sea bass pot closure</w:t>
      </w:r>
      <w:r w:rsidR="000242E5">
        <w:rPr>
          <w:iCs/>
        </w:rPr>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rPr>
          <w:iCs/>
        </w:rPr>
        <w:fldChar w:fldCharType="end"/>
      </w:r>
      <w:r w:rsidRPr="00DC71BC">
        <w:rPr>
          <w:iCs/>
        </w:rPr>
        <w:t xml:space="preserve"> applies to waters inshore of points 1-28 listed below </w:t>
      </w:r>
      <w:r w:rsidRPr="00DC71BC">
        <w:rPr>
          <w:b/>
          <w:iCs/>
        </w:rPr>
        <w:t>(Table 2.1.2)</w:t>
      </w:r>
      <w:r>
        <w:rPr>
          <w:iCs/>
        </w:rPr>
        <w:t>;</w:t>
      </w:r>
      <w:r w:rsidRPr="00DC71BC">
        <w:rPr>
          <w:iCs/>
        </w:rPr>
        <w:t xml:space="preserve"> approximately Cape Canaveral, Florida, to Cape Hatteras, North Carolina </w:t>
      </w:r>
      <w:r w:rsidRPr="00DC71BC">
        <w:rPr>
          <w:b/>
          <w:iCs/>
        </w:rPr>
        <w:t>(Figure 2.1.3)</w:t>
      </w:r>
      <w:r w:rsidRPr="00DC71BC">
        <w:rPr>
          <w:iCs/>
        </w:rPr>
        <w:t>.  The closure applies to the area annually from November 1 through April 30.</w:t>
      </w:r>
    </w:p>
    <w:p w:rsidR="00AF014F" w:rsidRDefault="00AF014F" w:rsidP="00AF014F">
      <w:pPr>
        <w:rPr>
          <w:iCs/>
        </w:rPr>
      </w:pPr>
    </w:p>
    <w:p w:rsidR="00AF014F" w:rsidRDefault="00AF014F" w:rsidP="00AF014F">
      <w:pPr>
        <w:rPr>
          <w:iCs/>
        </w:rPr>
      </w:pPr>
      <w:r w:rsidRPr="00DC71BC">
        <w:rPr>
          <w:iCs/>
        </w:rPr>
        <w:t>This area generally represents waters 25 m</w:t>
      </w:r>
      <w:r w:rsidR="00290EED">
        <w:rPr>
          <w:iCs/>
        </w:rPr>
        <w:t>eters</w:t>
      </w:r>
      <w:r w:rsidRPr="00DC71BC">
        <w:rPr>
          <w:iCs/>
        </w:rPr>
        <w:t xml:space="preserve"> or shallower from 28° 21</w:t>
      </w:r>
      <w:r w:rsidR="00290EED">
        <w:rPr>
          <w:iCs/>
        </w:rPr>
        <w:t>’</w:t>
      </w:r>
      <w:r w:rsidRPr="00DC71BC">
        <w:rPr>
          <w:iCs/>
        </w:rPr>
        <w:t>N (approximately Cape Canaveral, Florida) to Savannah, Georgia; from the Georgia/South Carolina border to Cape Hatteras, North Carolina, the closure applies to waters under Council management that are 30 m</w:t>
      </w:r>
      <w:r w:rsidR="00290EED">
        <w:rPr>
          <w:iCs/>
        </w:rPr>
        <w:t>eters</w:t>
      </w:r>
      <w:r w:rsidRPr="00DC71BC">
        <w:rPr>
          <w:iCs/>
        </w:rPr>
        <w:t xml:space="preserve"> or shallower.  This bathymetric area is based on right whale sightings (all demographic segments) and sightings per unit of effort (proxy of density) by depth and captures 97% and 96% of right whale sightings off the North Carolina/South Carolina area, and Florida/Georgia area, respectively.  The map below provides an approximate location of the proposed boundary.</w:t>
      </w:r>
      <w:r>
        <w:rPr>
          <w:iCs/>
        </w:rPr>
        <w:t xml:space="preserve">  </w:t>
      </w:r>
    </w:p>
    <w:p w:rsidR="00AF014F" w:rsidRDefault="00AF014F" w:rsidP="00AF014F">
      <w:pPr>
        <w:rPr>
          <w:iCs/>
        </w:rPr>
      </w:pPr>
    </w:p>
    <w:p w:rsidR="00AF014F" w:rsidRDefault="00AF014F" w:rsidP="00AF014F">
      <w:pPr>
        <w:rPr>
          <w:iCs/>
        </w:rPr>
      </w:pPr>
      <w:r w:rsidRPr="00E87D40">
        <w:rPr>
          <w:iCs/>
        </w:rPr>
        <w:t>Note</w:t>
      </w:r>
      <w:r>
        <w:rPr>
          <w:iCs/>
        </w:rPr>
        <w:t>:</w:t>
      </w:r>
      <w:r w:rsidRPr="00E87D40">
        <w:rPr>
          <w:iCs/>
        </w:rPr>
        <w:t xml:space="preserve"> </w:t>
      </w:r>
      <w:r>
        <w:rPr>
          <w:iCs/>
        </w:rPr>
        <w:t>F</w:t>
      </w:r>
      <w:r w:rsidRPr="00E87D40">
        <w:rPr>
          <w:iCs/>
        </w:rPr>
        <w:t>ederal regulations</w:t>
      </w:r>
      <w:r>
        <w:rPr>
          <w:iCs/>
        </w:rPr>
        <w:t xml:space="preserve"> would</w:t>
      </w:r>
      <w:r w:rsidRPr="00E87D40">
        <w:rPr>
          <w:iCs/>
        </w:rPr>
        <w:t xml:space="preserve"> only </w:t>
      </w:r>
      <w:r>
        <w:rPr>
          <w:iCs/>
        </w:rPr>
        <w:t>apply to that portion of the area within</w:t>
      </w:r>
      <w:r w:rsidRPr="00E87D40">
        <w:rPr>
          <w:iCs/>
        </w:rPr>
        <w:t xml:space="preserve"> the South Atlantic EEZ</w:t>
      </w:r>
      <w:r w:rsidR="000242E5">
        <w:rPr>
          <w:iCs/>
        </w:rPr>
        <w:fldChar w:fldCharType="begin"/>
      </w:r>
      <w:r>
        <w:instrText xml:space="preserve"> XE "</w:instrText>
      </w:r>
      <w:r w:rsidRPr="000E2ACD">
        <w:instrText>South Atlantic EEZ</w:instrText>
      </w:r>
      <w:r>
        <w:instrText xml:space="preserve">" </w:instrText>
      </w:r>
      <w:r w:rsidR="000242E5">
        <w:rPr>
          <w:iCs/>
        </w:rPr>
        <w:fldChar w:fldCharType="end"/>
      </w:r>
      <w:r w:rsidRPr="00E87D40">
        <w:rPr>
          <w:iCs/>
        </w:rPr>
        <w:t xml:space="preserve">.  The states will be asked to </w:t>
      </w:r>
      <w:r>
        <w:rPr>
          <w:iCs/>
        </w:rPr>
        <w:t>implement compatible</w:t>
      </w:r>
      <w:r w:rsidRPr="00E87D40">
        <w:rPr>
          <w:iCs/>
        </w:rPr>
        <w:t xml:space="preserve"> regulations </w:t>
      </w:r>
      <w:r>
        <w:rPr>
          <w:iCs/>
        </w:rPr>
        <w:t>with</w:t>
      </w:r>
      <w:r w:rsidRPr="00E87D40">
        <w:rPr>
          <w:iCs/>
        </w:rPr>
        <w:t>in state waters.</w:t>
      </w:r>
    </w:p>
    <w:p w:rsidR="00AF014F" w:rsidRDefault="00AF014F" w:rsidP="00AF014F">
      <w:pPr>
        <w:pStyle w:val="Tabletitle"/>
        <w:rPr>
          <w:rFonts w:cs="Arial"/>
        </w:rPr>
      </w:pPr>
    </w:p>
    <w:p w:rsidR="00AF014F" w:rsidRPr="00E34FB0" w:rsidRDefault="00AF014F" w:rsidP="00AF014F">
      <w:pPr>
        <w:pStyle w:val="Tabletitle"/>
        <w:rPr>
          <w:rFonts w:cs="Arial"/>
          <w:b w:val="0"/>
        </w:rPr>
      </w:pPr>
      <w:bookmarkStart w:id="3" w:name="_Toc302115471"/>
      <w:proofErr w:type="gramStart"/>
      <w:r w:rsidRPr="00E34FB0">
        <w:rPr>
          <w:rFonts w:cs="Arial"/>
        </w:rPr>
        <w:t>Table 2.1.2.</w:t>
      </w:r>
      <w:proofErr w:type="gramEnd"/>
      <w:r w:rsidRPr="00E34FB0">
        <w:rPr>
          <w:rFonts w:cs="Arial"/>
          <w:b w:val="0"/>
        </w:rPr>
        <w:t xml:space="preserve">  Eastern boundary coordinates for the proposed black sea bass pot closure</w:t>
      </w:r>
      <w:r w:rsidR="000242E5" w:rsidRPr="00E34FB0">
        <w:rPr>
          <w:rFonts w:cs="Arial"/>
          <w:b w:val="0"/>
        </w:rPr>
        <w:fldChar w:fldCharType="begin"/>
      </w:r>
      <w:r w:rsidRPr="00E34FB0">
        <w:rPr>
          <w:rFonts w:cs="Arial"/>
        </w:rPr>
        <w:instrText xml:space="preserve"> XE "</w:instrText>
      </w:r>
      <w:r w:rsidRPr="00E34FB0">
        <w:rPr>
          <w:rStyle w:val="FiguretitleChar1"/>
          <w:rFonts w:eastAsiaTheme="minorHAnsi" w:cs="Arial"/>
          <w:sz w:val="20"/>
          <w:szCs w:val="20"/>
        </w:rPr>
        <w:instrText>black sea bass pot closure</w:instrText>
      </w:r>
      <w:r w:rsidRPr="00E34FB0">
        <w:rPr>
          <w:rFonts w:cs="Arial"/>
        </w:rPr>
        <w:instrText xml:space="preserve">" </w:instrText>
      </w:r>
      <w:r w:rsidR="000242E5" w:rsidRPr="00E34FB0">
        <w:rPr>
          <w:rFonts w:cs="Arial"/>
          <w:b w:val="0"/>
        </w:rPr>
        <w:fldChar w:fldCharType="end"/>
      </w:r>
      <w:r w:rsidRPr="00E34FB0">
        <w:rPr>
          <w:rFonts w:cs="Arial"/>
          <w:b w:val="0"/>
        </w:rPr>
        <w:t xml:space="preserve"> in </w:t>
      </w:r>
      <w:r w:rsidRPr="00E34FB0">
        <w:rPr>
          <w:rFonts w:cs="Arial"/>
        </w:rPr>
        <w:t>Alternative 4</w:t>
      </w:r>
      <w:r w:rsidRPr="00E34FB0">
        <w:rPr>
          <w:rFonts w:cs="Arial"/>
          <w:b w:val="0"/>
        </w:rPr>
        <w:t>.</w:t>
      </w:r>
      <w:bookmarkEnd w:id="3"/>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549"/>
        <w:gridCol w:w="1086"/>
        <w:gridCol w:w="2386"/>
        <w:gridCol w:w="990"/>
        <w:gridCol w:w="1536"/>
        <w:gridCol w:w="2334"/>
      </w:tblGrid>
      <w:tr w:rsidR="00AF014F" w:rsidRPr="00DC71BC" w:rsidTr="00AF014F">
        <w:trPr>
          <w:trHeight w:val="323"/>
        </w:trPr>
        <w:tc>
          <w:tcPr>
            <w:tcW w:w="767"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br w:type="page"/>
              <w:t>Point</w:t>
            </w:r>
          </w:p>
        </w:tc>
        <w:tc>
          <w:tcPr>
            <w:tcW w:w="1635" w:type="dxa"/>
            <w:gridSpan w:val="2"/>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t>N Latitude</w:t>
            </w:r>
          </w:p>
        </w:tc>
        <w:tc>
          <w:tcPr>
            <w:tcW w:w="2386"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t>W Longitude</w:t>
            </w:r>
          </w:p>
        </w:tc>
        <w:tc>
          <w:tcPr>
            <w:tcW w:w="990"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br w:type="page"/>
              <w:t>Point</w:t>
            </w:r>
          </w:p>
        </w:tc>
        <w:tc>
          <w:tcPr>
            <w:tcW w:w="1536"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t>N Latitude</w:t>
            </w:r>
          </w:p>
        </w:tc>
        <w:tc>
          <w:tcPr>
            <w:tcW w:w="2334" w:type="dxa"/>
            <w:shd w:val="clear" w:color="auto" w:fill="D9D9D9"/>
          </w:tcPr>
          <w:p w:rsidR="00AF014F" w:rsidRPr="00B10893" w:rsidRDefault="00AF014F" w:rsidP="00AF014F">
            <w:pPr>
              <w:jc w:val="center"/>
              <w:rPr>
                <w:rFonts w:ascii="Arial" w:hAnsi="Arial" w:cs="Arial"/>
                <w:b/>
              </w:rPr>
            </w:pPr>
            <w:r w:rsidRPr="00B10893">
              <w:rPr>
                <w:rFonts w:ascii="Arial" w:hAnsi="Arial" w:cs="Arial"/>
                <w:b/>
                <w:sz w:val="22"/>
              </w:rPr>
              <w:t>W Longitude</w:t>
            </w:r>
          </w:p>
        </w:tc>
      </w:tr>
      <w:tr w:rsidR="00AF014F" w:rsidRPr="00DC71BC" w:rsidTr="00AF014F">
        <w:trPr>
          <w:trHeight w:val="288"/>
        </w:trPr>
        <w:tc>
          <w:tcPr>
            <w:tcW w:w="767" w:type="dxa"/>
            <w:vAlign w:val="center"/>
          </w:tcPr>
          <w:p w:rsidR="00AF014F" w:rsidRPr="00C35DF7" w:rsidRDefault="00AF014F" w:rsidP="00AF014F">
            <w:pPr>
              <w:jc w:val="center"/>
              <w:rPr>
                <w:rFonts w:ascii="Arial" w:hAnsi="Arial" w:cs="Arial"/>
              </w:rPr>
            </w:pPr>
            <w:r w:rsidRPr="00C35DF7">
              <w:rPr>
                <w:rFonts w:ascii="Arial" w:hAnsi="Arial" w:cs="Arial"/>
                <w:sz w:val="22"/>
              </w:rPr>
              <w:t>1</w:t>
            </w:r>
          </w:p>
        </w:tc>
        <w:tc>
          <w:tcPr>
            <w:tcW w:w="549"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35°</w:t>
            </w:r>
          </w:p>
        </w:tc>
        <w:tc>
          <w:tcPr>
            <w:tcW w:w="1086" w:type="dxa"/>
            <w:tcBorders>
              <w:left w:val="nil"/>
            </w:tcBorders>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15’</w:t>
            </w:r>
          </w:p>
        </w:tc>
        <w:tc>
          <w:tcPr>
            <w:tcW w:w="2386" w:type="dxa"/>
            <w:vAlign w:val="bottom"/>
          </w:tcPr>
          <w:p w:rsidR="00AF014F" w:rsidRPr="00C35DF7" w:rsidRDefault="00AF014F" w:rsidP="00AF014F">
            <w:pPr>
              <w:jc w:val="center"/>
              <w:rPr>
                <w:rFonts w:ascii="Arial" w:hAnsi="Arial" w:cs="Arial"/>
              </w:rPr>
            </w:pPr>
            <w:r w:rsidRPr="00C35DF7">
              <w:rPr>
                <w:rFonts w:ascii="Arial" w:hAnsi="Arial" w:cs="Arial"/>
                <w:sz w:val="22"/>
              </w:rPr>
              <w:t>State/EEZ boundary</w:t>
            </w:r>
          </w:p>
        </w:tc>
        <w:tc>
          <w:tcPr>
            <w:tcW w:w="990" w:type="dxa"/>
            <w:vAlign w:val="center"/>
          </w:tcPr>
          <w:p w:rsidR="00AF014F" w:rsidRPr="00C35DF7" w:rsidRDefault="00AF014F" w:rsidP="00AF014F">
            <w:pPr>
              <w:jc w:val="center"/>
              <w:rPr>
                <w:rFonts w:ascii="Arial" w:hAnsi="Arial" w:cs="Arial"/>
              </w:rPr>
            </w:pPr>
            <w:r w:rsidRPr="00C35DF7">
              <w:rPr>
                <w:rFonts w:ascii="Arial" w:hAnsi="Arial" w:cs="Arial"/>
                <w:sz w:val="22"/>
              </w:rPr>
              <w:t>15</w:t>
            </w:r>
          </w:p>
        </w:tc>
        <w:tc>
          <w:tcPr>
            <w:tcW w:w="1536" w:type="dxa"/>
            <w:vAlign w:val="bottom"/>
          </w:tcPr>
          <w:p w:rsidR="00AF014F" w:rsidRPr="00C35DF7" w:rsidRDefault="00AF014F" w:rsidP="00AF014F">
            <w:pPr>
              <w:jc w:val="center"/>
              <w:rPr>
                <w:rFonts w:ascii="Arial" w:hAnsi="Arial" w:cs="Arial"/>
              </w:rPr>
            </w:pPr>
            <w:r w:rsidRPr="00C35DF7">
              <w:rPr>
                <w:rFonts w:ascii="Arial" w:hAnsi="Arial" w:cs="Arial"/>
                <w:color w:val="000000"/>
                <w:sz w:val="22"/>
              </w:rPr>
              <w:t>33°</w:t>
            </w:r>
            <w:r>
              <w:rPr>
                <w:rFonts w:ascii="Arial" w:hAnsi="Arial" w:cs="Arial"/>
                <w:color w:val="000000"/>
                <w:sz w:val="22"/>
              </w:rPr>
              <w:t xml:space="preserve"> </w:t>
            </w:r>
            <w:r w:rsidRPr="00C35DF7">
              <w:rPr>
                <w:rFonts w:ascii="Arial" w:hAnsi="Arial" w:cs="Arial"/>
                <w:color w:val="000000"/>
                <w:sz w:val="22"/>
              </w:rPr>
              <w:t>01</w:t>
            </w:r>
            <w:r>
              <w:rPr>
                <w:rFonts w:ascii="Arial" w:hAnsi="Arial" w:cs="Arial"/>
                <w:color w:val="000000"/>
                <w:sz w:val="22"/>
              </w:rPr>
              <w:t>’</w:t>
            </w:r>
          </w:p>
        </w:tc>
        <w:tc>
          <w:tcPr>
            <w:tcW w:w="2334" w:type="dxa"/>
            <w:vAlign w:val="bottom"/>
          </w:tcPr>
          <w:p w:rsidR="00AF014F" w:rsidRPr="00C35DF7" w:rsidRDefault="00AF014F" w:rsidP="00AF014F">
            <w:pPr>
              <w:jc w:val="center"/>
              <w:rPr>
                <w:rFonts w:ascii="Arial" w:hAnsi="Arial" w:cs="Arial"/>
              </w:rPr>
            </w:pPr>
            <w:r w:rsidRPr="00C35DF7">
              <w:rPr>
                <w:rFonts w:ascii="Arial" w:hAnsi="Arial" w:cs="Arial"/>
                <w:color w:val="000000"/>
                <w:sz w:val="22"/>
              </w:rPr>
              <w:t>78°</w:t>
            </w:r>
            <w:r>
              <w:rPr>
                <w:rFonts w:ascii="Arial" w:hAnsi="Arial" w:cs="Arial"/>
                <w:color w:val="000000"/>
                <w:sz w:val="22"/>
              </w:rPr>
              <w:t xml:space="preserve"> </w:t>
            </w:r>
            <w:r w:rsidRPr="00C35DF7">
              <w:rPr>
                <w:rFonts w:ascii="Arial" w:hAnsi="Arial" w:cs="Arial"/>
                <w:color w:val="000000"/>
                <w:sz w:val="22"/>
              </w:rPr>
              <w:t>38’</w:t>
            </w:r>
          </w:p>
        </w:tc>
      </w:tr>
      <w:tr w:rsidR="00AF014F" w:rsidRPr="00DC71BC" w:rsidTr="00AF014F">
        <w:trPr>
          <w:trHeight w:val="288"/>
        </w:trPr>
        <w:tc>
          <w:tcPr>
            <w:tcW w:w="767" w:type="dxa"/>
            <w:shd w:val="clear" w:color="auto" w:fill="F2F2F2" w:themeFill="background1" w:themeFillShade="F2"/>
            <w:vAlign w:val="center"/>
          </w:tcPr>
          <w:p w:rsidR="00AF014F" w:rsidRPr="00C35DF7" w:rsidRDefault="00AF014F" w:rsidP="00AF014F">
            <w:pPr>
              <w:jc w:val="center"/>
              <w:rPr>
                <w:rFonts w:ascii="Arial" w:hAnsi="Arial" w:cs="Arial"/>
              </w:rPr>
            </w:pPr>
            <w:r w:rsidRPr="00C35DF7">
              <w:rPr>
                <w:rFonts w:ascii="Arial" w:hAnsi="Arial" w:cs="Arial"/>
                <w:sz w:val="22"/>
              </w:rPr>
              <w:t>2</w:t>
            </w:r>
          </w:p>
        </w:tc>
        <w:tc>
          <w:tcPr>
            <w:tcW w:w="549"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35°</w:t>
            </w:r>
          </w:p>
        </w:tc>
        <w:tc>
          <w:tcPr>
            <w:tcW w:w="1086" w:type="dxa"/>
            <w:tcBorders>
              <w:left w:val="nil"/>
            </w:tcBorders>
            <w:shd w:val="clear" w:color="auto" w:fill="F2F2F2" w:themeFill="background1" w:themeFillShade="F2"/>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15’</w:t>
            </w:r>
          </w:p>
        </w:tc>
        <w:tc>
          <w:tcPr>
            <w:tcW w:w="238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75°</w:t>
            </w:r>
            <w:r>
              <w:rPr>
                <w:rFonts w:ascii="Arial" w:hAnsi="Arial" w:cs="Arial"/>
                <w:color w:val="000000"/>
                <w:sz w:val="22"/>
              </w:rPr>
              <w:t xml:space="preserve"> </w:t>
            </w:r>
            <w:r w:rsidRPr="00C35DF7">
              <w:rPr>
                <w:rFonts w:ascii="Arial" w:hAnsi="Arial" w:cs="Arial"/>
                <w:color w:val="000000"/>
                <w:sz w:val="22"/>
              </w:rPr>
              <w:t>08’</w:t>
            </w:r>
          </w:p>
        </w:tc>
        <w:tc>
          <w:tcPr>
            <w:tcW w:w="990" w:type="dxa"/>
            <w:tcBorders>
              <w:right w:val="single" w:sz="4" w:space="0" w:color="auto"/>
            </w:tcBorders>
            <w:shd w:val="clear" w:color="auto" w:fill="F2F2F2" w:themeFill="background1" w:themeFillShade="F2"/>
            <w:vAlign w:val="center"/>
          </w:tcPr>
          <w:p w:rsidR="00AF014F" w:rsidRPr="00C35DF7" w:rsidRDefault="00AF014F" w:rsidP="00AF014F">
            <w:pPr>
              <w:jc w:val="center"/>
              <w:rPr>
                <w:rFonts w:ascii="Arial" w:hAnsi="Arial" w:cs="Arial"/>
                <w:color w:val="000000"/>
              </w:rPr>
            </w:pPr>
            <w:r w:rsidRPr="00C35DF7">
              <w:rPr>
                <w:rFonts w:ascii="Arial" w:hAnsi="Arial" w:cs="Arial"/>
                <w:sz w:val="22"/>
              </w:rPr>
              <w:t>16</w:t>
            </w:r>
          </w:p>
        </w:tc>
        <w:tc>
          <w:tcPr>
            <w:tcW w:w="153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32°</w:t>
            </w:r>
            <w:r>
              <w:rPr>
                <w:rFonts w:ascii="Arial" w:hAnsi="Arial" w:cs="Arial"/>
                <w:color w:val="000000"/>
                <w:sz w:val="22"/>
              </w:rPr>
              <w:t xml:space="preserve"> </w:t>
            </w:r>
            <w:r w:rsidRPr="00C35DF7">
              <w:rPr>
                <w:rFonts w:ascii="Arial" w:hAnsi="Arial" w:cs="Arial"/>
                <w:color w:val="000000"/>
                <w:sz w:val="22"/>
              </w:rPr>
              <w:t>40</w:t>
            </w:r>
            <w:r>
              <w:rPr>
                <w:rFonts w:ascii="Arial" w:hAnsi="Arial" w:cs="Arial"/>
                <w:color w:val="000000"/>
                <w:sz w:val="22"/>
              </w:rPr>
              <w:t>’</w:t>
            </w:r>
          </w:p>
        </w:tc>
        <w:tc>
          <w:tcPr>
            <w:tcW w:w="2334"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79°</w:t>
            </w:r>
            <w:r>
              <w:rPr>
                <w:rFonts w:ascii="Arial" w:hAnsi="Arial" w:cs="Arial"/>
                <w:color w:val="000000"/>
                <w:sz w:val="22"/>
              </w:rPr>
              <w:t xml:space="preserve"> </w:t>
            </w:r>
            <w:r w:rsidRPr="00C35DF7">
              <w:rPr>
                <w:rFonts w:ascii="Arial" w:hAnsi="Arial" w:cs="Arial"/>
                <w:color w:val="000000"/>
                <w:sz w:val="22"/>
              </w:rPr>
              <w:t>01’</w:t>
            </w:r>
          </w:p>
        </w:tc>
      </w:tr>
      <w:tr w:rsidR="00AF014F" w:rsidRPr="00DC71BC" w:rsidTr="00AF014F">
        <w:trPr>
          <w:trHeight w:val="288"/>
        </w:trPr>
        <w:tc>
          <w:tcPr>
            <w:tcW w:w="767" w:type="dxa"/>
            <w:vAlign w:val="center"/>
          </w:tcPr>
          <w:p w:rsidR="00AF014F" w:rsidRPr="00C35DF7" w:rsidRDefault="00AF014F" w:rsidP="00AF014F">
            <w:pPr>
              <w:jc w:val="center"/>
              <w:rPr>
                <w:rFonts w:ascii="Arial" w:hAnsi="Arial" w:cs="Arial"/>
              </w:rPr>
            </w:pPr>
            <w:r w:rsidRPr="00C35DF7">
              <w:rPr>
                <w:rFonts w:ascii="Arial" w:hAnsi="Arial" w:cs="Arial"/>
                <w:sz w:val="22"/>
              </w:rPr>
              <w:t>3</w:t>
            </w:r>
          </w:p>
        </w:tc>
        <w:tc>
          <w:tcPr>
            <w:tcW w:w="549"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w:t>
            </w:r>
          </w:p>
        </w:tc>
        <w:tc>
          <w:tcPr>
            <w:tcW w:w="1086" w:type="dxa"/>
            <w:tcBorders>
              <w:left w:val="nil"/>
            </w:tcBorders>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58’</w:t>
            </w:r>
          </w:p>
        </w:tc>
        <w:tc>
          <w:tcPr>
            <w:tcW w:w="2386" w:type="dxa"/>
            <w:tcBorders>
              <w:right w:val="single" w:sz="4" w:space="0" w:color="auto"/>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75°</w:t>
            </w:r>
            <w:r>
              <w:rPr>
                <w:rFonts w:ascii="Arial" w:hAnsi="Arial" w:cs="Arial"/>
                <w:color w:val="000000"/>
                <w:sz w:val="22"/>
              </w:rPr>
              <w:t xml:space="preserve"> </w:t>
            </w:r>
            <w:r w:rsidRPr="00C35DF7">
              <w:rPr>
                <w:rFonts w:ascii="Arial" w:hAnsi="Arial" w:cs="Arial"/>
                <w:color w:val="000000"/>
                <w:sz w:val="22"/>
              </w:rPr>
              <w:t>41’</w:t>
            </w:r>
          </w:p>
        </w:tc>
        <w:tc>
          <w:tcPr>
            <w:tcW w:w="990" w:type="dxa"/>
            <w:tcBorders>
              <w:right w:val="single" w:sz="4" w:space="0" w:color="auto"/>
            </w:tcBorders>
            <w:vAlign w:val="center"/>
          </w:tcPr>
          <w:p w:rsidR="00AF014F" w:rsidRPr="00C35DF7" w:rsidRDefault="00AF014F" w:rsidP="00AF014F">
            <w:pPr>
              <w:jc w:val="center"/>
              <w:rPr>
                <w:rFonts w:ascii="Arial" w:hAnsi="Arial" w:cs="Arial"/>
                <w:color w:val="000000"/>
              </w:rPr>
            </w:pPr>
            <w:r w:rsidRPr="00C35DF7">
              <w:rPr>
                <w:rFonts w:ascii="Arial" w:hAnsi="Arial" w:cs="Arial"/>
                <w:sz w:val="22"/>
              </w:rPr>
              <w:t>17</w:t>
            </w:r>
          </w:p>
        </w:tc>
        <w:tc>
          <w:tcPr>
            <w:tcW w:w="1536"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32°</w:t>
            </w:r>
            <w:r>
              <w:rPr>
                <w:rFonts w:ascii="Arial" w:hAnsi="Arial" w:cs="Arial"/>
                <w:color w:val="000000"/>
                <w:sz w:val="22"/>
              </w:rPr>
              <w:t xml:space="preserve"> </w:t>
            </w:r>
            <w:r w:rsidRPr="00C35DF7">
              <w:rPr>
                <w:rFonts w:ascii="Arial" w:hAnsi="Arial" w:cs="Arial"/>
                <w:color w:val="000000"/>
                <w:sz w:val="22"/>
              </w:rPr>
              <w:t>36</w:t>
            </w:r>
            <w:r>
              <w:rPr>
                <w:rFonts w:ascii="Arial" w:hAnsi="Arial" w:cs="Arial"/>
                <w:color w:val="000000"/>
                <w:sz w:val="22"/>
              </w:rPr>
              <w:t>’</w:t>
            </w:r>
          </w:p>
        </w:tc>
        <w:tc>
          <w:tcPr>
            <w:tcW w:w="2334"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79°</w:t>
            </w:r>
            <w:r>
              <w:rPr>
                <w:rFonts w:ascii="Arial" w:hAnsi="Arial" w:cs="Arial"/>
                <w:color w:val="000000"/>
                <w:sz w:val="22"/>
              </w:rPr>
              <w:t xml:space="preserve"> </w:t>
            </w:r>
            <w:r w:rsidRPr="00C35DF7">
              <w:rPr>
                <w:rFonts w:ascii="Arial" w:hAnsi="Arial" w:cs="Arial"/>
                <w:color w:val="000000"/>
                <w:sz w:val="22"/>
              </w:rPr>
              <w:t>18’</w:t>
            </w:r>
          </w:p>
        </w:tc>
      </w:tr>
      <w:tr w:rsidR="00AF014F" w:rsidRPr="00DC71BC" w:rsidTr="00AF014F">
        <w:trPr>
          <w:trHeight w:val="288"/>
        </w:trPr>
        <w:tc>
          <w:tcPr>
            <w:tcW w:w="767" w:type="dxa"/>
            <w:shd w:val="clear" w:color="auto" w:fill="F2F2F2" w:themeFill="background1" w:themeFillShade="F2"/>
            <w:vAlign w:val="center"/>
          </w:tcPr>
          <w:p w:rsidR="00AF014F" w:rsidRPr="00C35DF7" w:rsidRDefault="00AF014F" w:rsidP="00AF014F">
            <w:pPr>
              <w:jc w:val="center"/>
              <w:rPr>
                <w:rFonts w:ascii="Arial" w:hAnsi="Arial" w:cs="Arial"/>
              </w:rPr>
            </w:pPr>
            <w:r w:rsidRPr="00C35DF7">
              <w:rPr>
                <w:rFonts w:ascii="Arial" w:hAnsi="Arial" w:cs="Arial"/>
                <w:sz w:val="22"/>
              </w:rPr>
              <w:t>4</w:t>
            </w:r>
          </w:p>
        </w:tc>
        <w:tc>
          <w:tcPr>
            <w:tcW w:w="549"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w:t>
            </w:r>
          </w:p>
        </w:tc>
        <w:tc>
          <w:tcPr>
            <w:tcW w:w="1086" w:type="dxa"/>
            <w:tcBorders>
              <w:left w:val="nil"/>
            </w:tcBorders>
            <w:shd w:val="clear" w:color="auto" w:fill="F2F2F2" w:themeFill="background1" w:themeFillShade="F2"/>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49’</w:t>
            </w:r>
          </w:p>
        </w:tc>
        <w:tc>
          <w:tcPr>
            <w:tcW w:w="238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75°</w:t>
            </w:r>
            <w:r>
              <w:rPr>
                <w:rFonts w:ascii="Arial" w:hAnsi="Arial" w:cs="Arial"/>
                <w:color w:val="000000"/>
                <w:sz w:val="22"/>
              </w:rPr>
              <w:t xml:space="preserve"> </w:t>
            </w:r>
            <w:r w:rsidRPr="00C35DF7">
              <w:rPr>
                <w:rFonts w:ascii="Arial" w:hAnsi="Arial" w:cs="Arial"/>
                <w:color w:val="000000"/>
                <w:sz w:val="22"/>
              </w:rPr>
              <w:t>50’</w:t>
            </w:r>
          </w:p>
        </w:tc>
        <w:tc>
          <w:tcPr>
            <w:tcW w:w="990" w:type="dxa"/>
            <w:tcBorders>
              <w:right w:val="single" w:sz="4" w:space="0" w:color="auto"/>
            </w:tcBorders>
            <w:shd w:val="clear" w:color="auto" w:fill="F2F2F2" w:themeFill="background1" w:themeFillShade="F2"/>
            <w:vAlign w:val="center"/>
          </w:tcPr>
          <w:p w:rsidR="00AF014F" w:rsidRPr="00C35DF7" w:rsidRDefault="00AF014F" w:rsidP="00AF014F">
            <w:pPr>
              <w:jc w:val="center"/>
              <w:rPr>
                <w:rFonts w:ascii="Arial" w:hAnsi="Arial" w:cs="Arial"/>
                <w:color w:val="000000"/>
              </w:rPr>
            </w:pPr>
            <w:r w:rsidRPr="00C35DF7">
              <w:rPr>
                <w:rFonts w:ascii="Arial" w:hAnsi="Arial" w:cs="Arial"/>
                <w:sz w:val="22"/>
              </w:rPr>
              <w:t>18</w:t>
            </w:r>
          </w:p>
        </w:tc>
        <w:tc>
          <w:tcPr>
            <w:tcW w:w="153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32°</w:t>
            </w:r>
            <w:r>
              <w:rPr>
                <w:rFonts w:ascii="Arial" w:hAnsi="Arial" w:cs="Arial"/>
                <w:color w:val="000000"/>
                <w:sz w:val="22"/>
              </w:rPr>
              <w:t xml:space="preserve"> </w:t>
            </w:r>
            <w:r w:rsidRPr="00C35DF7">
              <w:rPr>
                <w:rFonts w:ascii="Arial" w:hAnsi="Arial" w:cs="Arial"/>
                <w:color w:val="000000"/>
                <w:sz w:val="22"/>
              </w:rPr>
              <w:t>19’</w:t>
            </w:r>
          </w:p>
        </w:tc>
        <w:tc>
          <w:tcPr>
            <w:tcW w:w="2334"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79°</w:t>
            </w:r>
            <w:r>
              <w:rPr>
                <w:rFonts w:ascii="Arial" w:hAnsi="Arial" w:cs="Arial"/>
                <w:color w:val="000000"/>
                <w:sz w:val="22"/>
              </w:rPr>
              <w:t xml:space="preserve"> </w:t>
            </w:r>
            <w:r w:rsidRPr="00C35DF7">
              <w:rPr>
                <w:rFonts w:ascii="Arial" w:hAnsi="Arial" w:cs="Arial"/>
                <w:color w:val="000000"/>
                <w:sz w:val="22"/>
              </w:rPr>
              <w:t>22’</w:t>
            </w:r>
          </w:p>
        </w:tc>
      </w:tr>
      <w:tr w:rsidR="00AF014F" w:rsidRPr="00DC71BC" w:rsidTr="00AF014F">
        <w:trPr>
          <w:trHeight w:val="288"/>
        </w:trPr>
        <w:tc>
          <w:tcPr>
            <w:tcW w:w="767" w:type="dxa"/>
            <w:vAlign w:val="center"/>
          </w:tcPr>
          <w:p w:rsidR="00AF014F" w:rsidRPr="00C35DF7" w:rsidRDefault="00AF014F" w:rsidP="00AF014F">
            <w:pPr>
              <w:jc w:val="center"/>
              <w:rPr>
                <w:rFonts w:ascii="Arial" w:hAnsi="Arial" w:cs="Arial"/>
              </w:rPr>
            </w:pPr>
            <w:r w:rsidRPr="00C35DF7">
              <w:rPr>
                <w:rFonts w:ascii="Arial" w:hAnsi="Arial" w:cs="Arial"/>
                <w:sz w:val="22"/>
              </w:rPr>
              <w:t>5</w:t>
            </w:r>
          </w:p>
        </w:tc>
        <w:tc>
          <w:tcPr>
            <w:tcW w:w="549"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w:t>
            </w:r>
          </w:p>
        </w:tc>
        <w:tc>
          <w:tcPr>
            <w:tcW w:w="1086" w:type="dxa"/>
            <w:tcBorders>
              <w:left w:val="nil"/>
            </w:tcBorders>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47’</w:t>
            </w:r>
          </w:p>
        </w:tc>
        <w:tc>
          <w:tcPr>
            <w:tcW w:w="2386" w:type="dxa"/>
            <w:tcBorders>
              <w:right w:val="single" w:sz="4" w:space="0" w:color="auto"/>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76°</w:t>
            </w:r>
            <w:r>
              <w:rPr>
                <w:rFonts w:ascii="Arial" w:hAnsi="Arial" w:cs="Arial"/>
                <w:color w:val="000000"/>
                <w:sz w:val="22"/>
              </w:rPr>
              <w:t xml:space="preserve"> </w:t>
            </w:r>
            <w:r w:rsidRPr="00C35DF7">
              <w:rPr>
                <w:rFonts w:ascii="Arial" w:hAnsi="Arial" w:cs="Arial"/>
                <w:color w:val="000000"/>
                <w:sz w:val="22"/>
              </w:rPr>
              <w:t>05’</w:t>
            </w:r>
          </w:p>
        </w:tc>
        <w:tc>
          <w:tcPr>
            <w:tcW w:w="990" w:type="dxa"/>
            <w:tcBorders>
              <w:right w:val="single" w:sz="4" w:space="0" w:color="auto"/>
            </w:tcBorders>
            <w:vAlign w:val="center"/>
          </w:tcPr>
          <w:p w:rsidR="00AF014F" w:rsidRPr="00C35DF7" w:rsidRDefault="00AF014F" w:rsidP="00AF014F">
            <w:pPr>
              <w:jc w:val="center"/>
              <w:rPr>
                <w:rFonts w:ascii="Arial" w:hAnsi="Arial" w:cs="Arial"/>
                <w:color w:val="000000"/>
              </w:rPr>
            </w:pPr>
            <w:r w:rsidRPr="00C35DF7">
              <w:rPr>
                <w:rFonts w:ascii="Arial" w:hAnsi="Arial" w:cs="Arial"/>
                <w:sz w:val="22"/>
              </w:rPr>
              <w:t>19</w:t>
            </w:r>
          </w:p>
        </w:tc>
        <w:tc>
          <w:tcPr>
            <w:tcW w:w="1536"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32°</w:t>
            </w:r>
            <w:r>
              <w:rPr>
                <w:rFonts w:ascii="Arial" w:hAnsi="Arial" w:cs="Arial"/>
                <w:color w:val="000000"/>
                <w:sz w:val="22"/>
              </w:rPr>
              <w:t xml:space="preserve"> </w:t>
            </w:r>
            <w:r w:rsidRPr="00C35DF7">
              <w:rPr>
                <w:rFonts w:ascii="Arial" w:hAnsi="Arial" w:cs="Arial"/>
                <w:color w:val="000000"/>
                <w:sz w:val="22"/>
              </w:rPr>
              <w:t>16’</w:t>
            </w:r>
          </w:p>
        </w:tc>
        <w:tc>
          <w:tcPr>
            <w:tcW w:w="2334"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79°</w:t>
            </w:r>
            <w:r>
              <w:rPr>
                <w:rFonts w:ascii="Arial" w:hAnsi="Arial" w:cs="Arial"/>
                <w:color w:val="000000"/>
                <w:sz w:val="22"/>
              </w:rPr>
              <w:t xml:space="preserve"> </w:t>
            </w:r>
            <w:r w:rsidRPr="00C35DF7">
              <w:rPr>
                <w:rFonts w:ascii="Arial" w:hAnsi="Arial" w:cs="Arial"/>
                <w:color w:val="000000"/>
                <w:sz w:val="22"/>
              </w:rPr>
              <w:t>37’</w:t>
            </w:r>
          </w:p>
        </w:tc>
      </w:tr>
      <w:tr w:rsidR="00AF014F" w:rsidRPr="00DC71BC" w:rsidTr="00AF014F">
        <w:trPr>
          <w:trHeight w:val="288"/>
        </w:trPr>
        <w:tc>
          <w:tcPr>
            <w:tcW w:w="767" w:type="dxa"/>
            <w:shd w:val="clear" w:color="auto" w:fill="F2F2F2" w:themeFill="background1" w:themeFillShade="F2"/>
            <w:vAlign w:val="center"/>
          </w:tcPr>
          <w:p w:rsidR="00AF014F" w:rsidRPr="00C35DF7" w:rsidRDefault="00AF014F" w:rsidP="00AF014F">
            <w:pPr>
              <w:jc w:val="center"/>
              <w:rPr>
                <w:rFonts w:ascii="Arial" w:hAnsi="Arial" w:cs="Arial"/>
              </w:rPr>
            </w:pPr>
            <w:r w:rsidRPr="00C35DF7">
              <w:rPr>
                <w:rFonts w:ascii="Arial" w:hAnsi="Arial" w:cs="Arial"/>
                <w:sz w:val="22"/>
              </w:rPr>
              <w:t>6</w:t>
            </w:r>
          </w:p>
        </w:tc>
        <w:tc>
          <w:tcPr>
            <w:tcW w:w="549"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w:t>
            </w:r>
          </w:p>
        </w:tc>
        <w:tc>
          <w:tcPr>
            <w:tcW w:w="1086" w:type="dxa"/>
            <w:tcBorders>
              <w:left w:val="nil"/>
            </w:tcBorders>
            <w:shd w:val="clear" w:color="auto" w:fill="F2F2F2" w:themeFill="background1" w:themeFillShade="F2"/>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31’</w:t>
            </w:r>
          </w:p>
        </w:tc>
        <w:tc>
          <w:tcPr>
            <w:tcW w:w="238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76°</w:t>
            </w:r>
            <w:r>
              <w:rPr>
                <w:rFonts w:ascii="Arial" w:hAnsi="Arial" w:cs="Arial"/>
                <w:color w:val="000000"/>
                <w:sz w:val="22"/>
              </w:rPr>
              <w:t xml:space="preserve"> </w:t>
            </w:r>
            <w:r w:rsidRPr="00C35DF7">
              <w:rPr>
                <w:rFonts w:ascii="Arial" w:hAnsi="Arial" w:cs="Arial"/>
                <w:color w:val="000000"/>
                <w:sz w:val="22"/>
              </w:rPr>
              <w:t>18’</w:t>
            </w:r>
          </w:p>
        </w:tc>
        <w:tc>
          <w:tcPr>
            <w:tcW w:w="990" w:type="dxa"/>
            <w:tcBorders>
              <w:right w:val="single" w:sz="4" w:space="0" w:color="auto"/>
            </w:tcBorders>
            <w:shd w:val="clear" w:color="auto" w:fill="F2F2F2" w:themeFill="background1" w:themeFillShade="F2"/>
            <w:vAlign w:val="center"/>
          </w:tcPr>
          <w:p w:rsidR="00AF014F" w:rsidRPr="00C35DF7" w:rsidRDefault="00AF014F" w:rsidP="00AF014F">
            <w:pPr>
              <w:jc w:val="center"/>
              <w:rPr>
                <w:rFonts w:ascii="Arial" w:hAnsi="Arial" w:cs="Arial"/>
                <w:color w:val="000000"/>
              </w:rPr>
            </w:pPr>
            <w:r w:rsidRPr="00C35DF7">
              <w:rPr>
                <w:rFonts w:ascii="Arial" w:hAnsi="Arial" w:cs="Arial"/>
                <w:sz w:val="22"/>
              </w:rPr>
              <w:t>20</w:t>
            </w:r>
          </w:p>
        </w:tc>
        <w:tc>
          <w:tcPr>
            <w:tcW w:w="153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32°</w:t>
            </w:r>
            <w:r>
              <w:rPr>
                <w:rFonts w:ascii="Arial" w:hAnsi="Arial" w:cs="Arial"/>
                <w:color w:val="000000"/>
                <w:sz w:val="22"/>
              </w:rPr>
              <w:t xml:space="preserve"> </w:t>
            </w:r>
            <w:r w:rsidRPr="00C35DF7">
              <w:rPr>
                <w:rFonts w:ascii="Arial" w:hAnsi="Arial" w:cs="Arial"/>
                <w:color w:val="000000"/>
                <w:sz w:val="22"/>
              </w:rPr>
              <w:t>03’</w:t>
            </w:r>
          </w:p>
        </w:tc>
        <w:tc>
          <w:tcPr>
            <w:tcW w:w="2334"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79°</w:t>
            </w:r>
            <w:r>
              <w:rPr>
                <w:rFonts w:ascii="Arial" w:hAnsi="Arial" w:cs="Arial"/>
                <w:color w:val="000000"/>
                <w:sz w:val="22"/>
              </w:rPr>
              <w:t xml:space="preserve"> </w:t>
            </w:r>
            <w:r w:rsidRPr="00C35DF7">
              <w:rPr>
                <w:rFonts w:ascii="Arial" w:hAnsi="Arial" w:cs="Arial"/>
                <w:color w:val="000000"/>
                <w:sz w:val="22"/>
              </w:rPr>
              <w:t>48’</w:t>
            </w:r>
          </w:p>
        </w:tc>
      </w:tr>
      <w:tr w:rsidR="00AF014F" w:rsidRPr="00DC71BC" w:rsidTr="00AF014F">
        <w:trPr>
          <w:trHeight w:val="288"/>
        </w:trPr>
        <w:tc>
          <w:tcPr>
            <w:tcW w:w="767" w:type="dxa"/>
            <w:vAlign w:val="center"/>
          </w:tcPr>
          <w:p w:rsidR="00AF014F" w:rsidRPr="00C35DF7" w:rsidRDefault="00AF014F" w:rsidP="00AF014F">
            <w:pPr>
              <w:jc w:val="center"/>
              <w:rPr>
                <w:rFonts w:ascii="Arial" w:hAnsi="Arial" w:cs="Arial"/>
              </w:rPr>
            </w:pPr>
            <w:r w:rsidRPr="00C35DF7">
              <w:rPr>
                <w:rFonts w:ascii="Arial" w:hAnsi="Arial" w:cs="Arial"/>
                <w:sz w:val="22"/>
              </w:rPr>
              <w:t>7</w:t>
            </w:r>
          </w:p>
        </w:tc>
        <w:tc>
          <w:tcPr>
            <w:tcW w:w="549"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w:t>
            </w:r>
          </w:p>
        </w:tc>
        <w:tc>
          <w:tcPr>
            <w:tcW w:w="1086" w:type="dxa"/>
            <w:tcBorders>
              <w:left w:val="nil"/>
            </w:tcBorders>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20’</w:t>
            </w:r>
          </w:p>
        </w:tc>
        <w:tc>
          <w:tcPr>
            <w:tcW w:w="2386" w:type="dxa"/>
            <w:tcBorders>
              <w:right w:val="single" w:sz="4" w:space="0" w:color="auto"/>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76°</w:t>
            </w:r>
            <w:r>
              <w:rPr>
                <w:rFonts w:ascii="Arial" w:hAnsi="Arial" w:cs="Arial"/>
                <w:color w:val="000000"/>
                <w:sz w:val="22"/>
              </w:rPr>
              <w:t xml:space="preserve"> </w:t>
            </w:r>
            <w:r w:rsidRPr="00C35DF7">
              <w:rPr>
                <w:rFonts w:ascii="Arial" w:hAnsi="Arial" w:cs="Arial"/>
                <w:color w:val="000000"/>
                <w:sz w:val="22"/>
              </w:rPr>
              <w:t>13</w:t>
            </w:r>
          </w:p>
        </w:tc>
        <w:tc>
          <w:tcPr>
            <w:tcW w:w="990" w:type="dxa"/>
            <w:tcBorders>
              <w:right w:val="single" w:sz="4" w:space="0" w:color="auto"/>
            </w:tcBorders>
            <w:vAlign w:val="center"/>
          </w:tcPr>
          <w:p w:rsidR="00AF014F" w:rsidRPr="00C35DF7" w:rsidRDefault="00AF014F" w:rsidP="00AF014F">
            <w:pPr>
              <w:jc w:val="center"/>
              <w:rPr>
                <w:rFonts w:ascii="Arial" w:hAnsi="Arial" w:cs="Arial"/>
                <w:color w:val="000000"/>
              </w:rPr>
            </w:pPr>
            <w:r w:rsidRPr="00C35DF7">
              <w:rPr>
                <w:rFonts w:ascii="Arial" w:hAnsi="Arial" w:cs="Arial"/>
                <w:sz w:val="22"/>
              </w:rPr>
              <w:t>21</w:t>
            </w:r>
          </w:p>
        </w:tc>
        <w:tc>
          <w:tcPr>
            <w:tcW w:w="1536"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31°</w:t>
            </w:r>
            <w:r>
              <w:rPr>
                <w:rFonts w:ascii="Arial" w:hAnsi="Arial" w:cs="Arial"/>
                <w:color w:val="000000"/>
                <w:sz w:val="22"/>
              </w:rPr>
              <w:t xml:space="preserve"> </w:t>
            </w:r>
            <w:r w:rsidRPr="00C35DF7">
              <w:rPr>
                <w:rFonts w:ascii="Arial" w:hAnsi="Arial" w:cs="Arial"/>
                <w:color w:val="000000"/>
                <w:sz w:val="22"/>
              </w:rPr>
              <w:t>39’</w:t>
            </w:r>
          </w:p>
        </w:tc>
        <w:tc>
          <w:tcPr>
            <w:tcW w:w="2334"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w:t>
            </w:r>
            <w:r>
              <w:rPr>
                <w:rFonts w:ascii="Arial" w:hAnsi="Arial" w:cs="Arial"/>
                <w:color w:val="000000"/>
                <w:sz w:val="22"/>
              </w:rPr>
              <w:t xml:space="preserve"> </w:t>
            </w:r>
            <w:r w:rsidRPr="00C35DF7">
              <w:rPr>
                <w:rFonts w:ascii="Arial" w:hAnsi="Arial" w:cs="Arial"/>
                <w:color w:val="000000"/>
                <w:sz w:val="22"/>
              </w:rPr>
              <w:t>27’</w:t>
            </w:r>
          </w:p>
        </w:tc>
      </w:tr>
      <w:tr w:rsidR="00AF014F" w:rsidRPr="00DC71BC" w:rsidTr="00AF014F">
        <w:trPr>
          <w:trHeight w:val="288"/>
        </w:trPr>
        <w:tc>
          <w:tcPr>
            <w:tcW w:w="767" w:type="dxa"/>
            <w:shd w:val="clear" w:color="auto" w:fill="F2F2F2" w:themeFill="background1" w:themeFillShade="F2"/>
            <w:vAlign w:val="center"/>
          </w:tcPr>
          <w:p w:rsidR="00AF014F" w:rsidRPr="00C35DF7" w:rsidRDefault="00AF014F" w:rsidP="00AF014F">
            <w:pPr>
              <w:jc w:val="center"/>
              <w:rPr>
                <w:rFonts w:ascii="Arial" w:hAnsi="Arial" w:cs="Arial"/>
              </w:rPr>
            </w:pPr>
            <w:r w:rsidRPr="00C35DF7">
              <w:rPr>
                <w:rFonts w:ascii="Arial" w:hAnsi="Arial" w:cs="Arial"/>
                <w:sz w:val="22"/>
              </w:rPr>
              <w:t>8</w:t>
            </w:r>
          </w:p>
        </w:tc>
        <w:tc>
          <w:tcPr>
            <w:tcW w:w="549"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w:t>
            </w:r>
          </w:p>
        </w:tc>
        <w:tc>
          <w:tcPr>
            <w:tcW w:w="1086" w:type="dxa"/>
            <w:tcBorders>
              <w:left w:val="nil"/>
            </w:tcBorders>
            <w:shd w:val="clear" w:color="auto" w:fill="F2F2F2" w:themeFill="background1" w:themeFillShade="F2"/>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12’</w:t>
            </w:r>
          </w:p>
        </w:tc>
        <w:tc>
          <w:tcPr>
            <w:tcW w:w="238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77°</w:t>
            </w:r>
            <w:r>
              <w:rPr>
                <w:rFonts w:ascii="Arial" w:hAnsi="Arial" w:cs="Arial"/>
                <w:color w:val="000000"/>
                <w:sz w:val="22"/>
              </w:rPr>
              <w:t xml:space="preserve"> </w:t>
            </w:r>
            <w:r w:rsidRPr="00C35DF7">
              <w:rPr>
                <w:rFonts w:ascii="Arial" w:hAnsi="Arial" w:cs="Arial"/>
                <w:color w:val="000000"/>
                <w:sz w:val="22"/>
              </w:rPr>
              <w:t>00’</w:t>
            </w:r>
          </w:p>
        </w:tc>
        <w:tc>
          <w:tcPr>
            <w:tcW w:w="990" w:type="dxa"/>
            <w:tcBorders>
              <w:right w:val="single" w:sz="4" w:space="0" w:color="auto"/>
            </w:tcBorders>
            <w:shd w:val="clear" w:color="auto" w:fill="F2F2F2" w:themeFill="background1" w:themeFillShade="F2"/>
            <w:vAlign w:val="center"/>
          </w:tcPr>
          <w:p w:rsidR="00AF014F" w:rsidRPr="00C35DF7" w:rsidRDefault="00AF014F" w:rsidP="00AF014F">
            <w:pPr>
              <w:jc w:val="center"/>
              <w:rPr>
                <w:rFonts w:ascii="Arial" w:hAnsi="Arial" w:cs="Arial"/>
                <w:color w:val="000000"/>
              </w:rPr>
            </w:pPr>
            <w:r w:rsidRPr="00C35DF7">
              <w:rPr>
                <w:rFonts w:ascii="Arial" w:hAnsi="Arial" w:cs="Arial"/>
                <w:sz w:val="22"/>
              </w:rPr>
              <w:t>22</w:t>
            </w:r>
          </w:p>
        </w:tc>
        <w:tc>
          <w:tcPr>
            <w:tcW w:w="153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30°</w:t>
            </w:r>
            <w:r>
              <w:rPr>
                <w:rFonts w:ascii="Arial" w:hAnsi="Arial" w:cs="Arial"/>
                <w:color w:val="000000"/>
                <w:sz w:val="22"/>
              </w:rPr>
              <w:t xml:space="preserve"> </w:t>
            </w:r>
            <w:r w:rsidRPr="00C35DF7">
              <w:rPr>
                <w:rFonts w:ascii="Arial" w:hAnsi="Arial" w:cs="Arial"/>
                <w:color w:val="000000"/>
                <w:sz w:val="22"/>
              </w:rPr>
              <w:t>58’</w:t>
            </w:r>
          </w:p>
        </w:tc>
        <w:tc>
          <w:tcPr>
            <w:tcW w:w="2334"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w:t>
            </w:r>
            <w:r>
              <w:rPr>
                <w:rFonts w:ascii="Arial" w:hAnsi="Arial" w:cs="Arial"/>
                <w:color w:val="000000"/>
                <w:sz w:val="22"/>
              </w:rPr>
              <w:t xml:space="preserve"> </w:t>
            </w:r>
            <w:r w:rsidRPr="00C35DF7">
              <w:rPr>
                <w:rFonts w:ascii="Arial" w:hAnsi="Arial" w:cs="Arial"/>
                <w:color w:val="000000"/>
                <w:sz w:val="22"/>
              </w:rPr>
              <w:t>47’</w:t>
            </w:r>
          </w:p>
        </w:tc>
      </w:tr>
      <w:tr w:rsidR="00AF014F" w:rsidRPr="00DC71BC" w:rsidTr="00AF014F">
        <w:trPr>
          <w:trHeight w:val="288"/>
        </w:trPr>
        <w:tc>
          <w:tcPr>
            <w:tcW w:w="767" w:type="dxa"/>
            <w:vAlign w:val="center"/>
          </w:tcPr>
          <w:p w:rsidR="00AF014F" w:rsidRPr="00C35DF7" w:rsidRDefault="00AF014F" w:rsidP="00AF014F">
            <w:pPr>
              <w:jc w:val="center"/>
              <w:rPr>
                <w:rFonts w:ascii="Arial" w:hAnsi="Arial" w:cs="Arial"/>
              </w:rPr>
            </w:pPr>
            <w:r w:rsidRPr="00C35DF7">
              <w:rPr>
                <w:rFonts w:ascii="Arial" w:hAnsi="Arial" w:cs="Arial"/>
                <w:sz w:val="22"/>
              </w:rPr>
              <w:t>9</w:t>
            </w:r>
          </w:p>
        </w:tc>
        <w:tc>
          <w:tcPr>
            <w:tcW w:w="549"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33°</w:t>
            </w:r>
          </w:p>
        </w:tc>
        <w:tc>
          <w:tcPr>
            <w:tcW w:w="1086" w:type="dxa"/>
            <w:tcBorders>
              <w:left w:val="nil"/>
            </w:tcBorders>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43’</w:t>
            </w:r>
          </w:p>
        </w:tc>
        <w:tc>
          <w:tcPr>
            <w:tcW w:w="2386" w:type="dxa"/>
            <w:tcBorders>
              <w:right w:val="single" w:sz="4" w:space="0" w:color="auto"/>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77°</w:t>
            </w:r>
            <w:r>
              <w:rPr>
                <w:rFonts w:ascii="Arial" w:hAnsi="Arial" w:cs="Arial"/>
                <w:color w:val="000000"/>
                <w:sz w:val="22"/>
              </w:rPr>
              <w:t xml:space="preserve"> </w:t>
            </w:r>
            <w:r w:rsidRPr="00C35DF7">
              <w:rPr>
                <w:rFonts w:ascii="Arial" w:hAnsi="Arial" w:cs="Arial"/>
                <w:color w:val="000000"/>
                <w:sz w:val="22"/>
              </w:rPr>
              <w:t>30’</w:t>
            </w:r>
          </w:p>
        </w:tc>
        <w:tc>
          <w:tcPr>
            <w:tcW w:w="990" w:type="dxa"/>
            <w:tcBorders>
              <w:right w:val="single" w:sz="4" w:space="0" w:color="auto"/>
            </w:tcBorders>
            <w:vAlign w:val="center"/>
          </w:tcPr>
          <w:p w:rsidR="00AF014F" w:rsidRPr="00C35DF7" w:rsidRDefault="00AF014F" w:rsidP="00AF014F">
            <w:pPr>
              <w:jc w:val="center"/>
              <w:rPr>
                <w:rFonts w:ascii="Arial" w:hAnsi="Arial" w:cs="Arial"/>
                <w:color w:val="000000"/>
              </w:rPr>
            </w:pPr>
            <w:r w:rsidRPr="00C35DF7">
              <w:rPr>
                <w:rFonts w:ascii="Arial" w:hAnsi="Arial" w:cs="Arial"/>
                <w:sz w:val="22"/>
              </w:rPr>
              <w:t>23</w:t>
            </w:r>
          </w:p>
        </w:tc>
        <w:tc>
          <w:tcPr>
            <w:tcW w:w="1536"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30°</w:t>
            </w:r>
            <w:r>
              <w:rPr>
                <w:rFonts w:ascii="Arial" w:hAnsi="Arial" w:cs="Arial"/>
                <w:color w:val="000000"/>
                <w:sz w:val="22"/>
              </w:rPr>
              <w:t xml:space="preserve"> </w:t>
            </w:r>
            <w:r w:rsidRPr="00C35DF7">
              <w:rPr>
                <w:rFonts w:ascii="Arial" w:hAnsi="Arial" w:cs="Arial"/>
                <w:color w:val="000000"/>
                <w:sz w:val="22"/>
              </w:rPr>
              <w:t>13’</w:t>
            </w:r>
          </w:p>
        </w:tc>
        <w:tc>
          <w:tcPr>
            <w:tcW w:w="2334"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81°</w:t>
            </w:r>
            <w:r>
              <w:rPr>
                <w:rFonts w:ascii="Arial" w:hAnsi="Arial" w:cs="Arial"/>
                <w:color w:val="000000"/>
                <w:sz w:val="22"/>
              </w:rPr>
              <w:t xml:space="preserve"> </w:t>
            </w:r>
            <w:r w:rsidRPr="00C35DF7">
              <w:rPr>
                <w:rFonts w:ascii="Arial" w:hAnsi="Arial" w:cs="Arial"/>
                <w:color w:val="000000"/>
                <w:sz w:val="22"/>
              </w:rPr>
              <w:t>01’</w:t>
            </w:r>
          </w:p>
        </w:tc>
      </w:tr>
      <w:tr w:rsidR="00AF014F" w:rsidRPr="00DC71BC" w:rsidTr="00AF014F">
        <w:trPr>
          <w:trHeight w:val="288"/>
        </w:trPr>
        <w:tc>
          <w:tcPr>
            <w:tcW w:w="767" w:type="dxa"/>
            <w:shd w:val="clear" w:color="auto" w:fill="F2F2F2" w:themeFill="background1" w:themeFillShade="F2"/>
            <w:vAlign w:val="center"/>
          </w:tcPr>
          <w:p w:rsidR="00AF014F" w:rsidRPr="00C35DF7" w:rsidRDefault="00AF014F" w:rsidP="00AF014F">
            <w:pPr>
              <w:jc w:val="center"/>
              <w:rPr>
                <w:rFonts w:ascii="Arial" w:hAnsi="Arial" w:cs="Arial"/>
              </w:rPr>
            </w:pPr>
            <w:r w:rsidRPr="00C35DF7">
              <w:rPr>
                <w:rFonts w:ascii="Arial" w:hAnsi="Arial" w:cs="Arial"/>
                <w:sz w:val="22"/>
              </w:rPr>
              <w:t>10</w:t>
            </w:r>
          </w:p>
        </w:tc>
        <w:tc>
          <w:tcPr>
            <w:tcW w:w="549"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33°</w:t>
            </w:r>
          </w:p>
        </w:tc>
        <w:tc>
          <w:tcPr>
            <w:tcW w:w="1086" w:type="dxa"/>
            <w:tcBorders>
              <w:left w:val="nil"/>
            </w:tcBorders>
            <w:shd w:val="clear" w:color="auto" w:fill="F2F2F2" w:themeFill="background1" w:themeFillShade="F2"/>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21’</w:t>
            </w:r>
          </w:p>
        </w:tc>
        <w:tc>
          <w:tcPr>
            <w:tcW w:w="238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77°</w:t>
            </w:r>
            <w:r>
              <w:rPr>
                <w:rFonts w:ascii="Arial" w:hAnsi="Arial" w:cs="Arial"/>
                <w:color w:val="000000"/>
                <w:sz w:val="22"/>
              </w:rPr>
              <w:t xml:space="preserve"> </w:t>
            </w:r>
            <w:r w:rsidRPr="00C35DF7">
              <w:rPr>
                <w:rFonts w:ascii="Arial" w:hAnsi="Arial" w:cs="Arial"/>
                <w:color w:val="000000"/>
                <w:sz w:val="22"/>
              </w:rPr>
              <w:t>21’</w:t>
            </w:r>
          </w:p>
        </w:tc>
        <w:tc>
          <w:tcPr>
            <w:tcW w:w="990" w:type="dxa"/>
            <w:tcBorders>
              <w:right w:val="single" w:sz="4" w:space="0" w:color="auto"/>
            </w:tcBorders>
            <w:shd w:val="clear" w:color="auto" w:fill="F2F2F2" w:themeFill="background1" w:themeFillShade="F2"/>
            <w:vAlign w:val="center"/>
          </w:tcPr>
          <w:p w:rsidR="00AF014F" w:rsidRPr="00C35DF7" w:rsidRDefault="00AF014F" w:rsidP="00AF014F">
            <w:pPr>
              <w:jc w:val="center"/>
              <w:rPr>
                <w:rFonts w:ascii="Arial" w:hAnsi="Arial" w:cs="Arial"/>
                <w:color w:val="000000"/>
              </w:rPr>
            </w:pPr>
            <w:r w:rsidRPr="00C35DF7">
              <w:rPr>
                <w:rFonts w:ascii="Arial" w:hAnsi="Arial" w:cs="Arial"/>
                <w:sz w:val="22"/>
              </w:rPr>
              <w:t>24</w:t>
            </w:r>
          </w:p>
        </w:tc>
        <w:tc>
          <w:tcPr>
            <w:tcW w:w="153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29°</w:t>
            </w:r>
            <w:r>
              <w:rPr>
                <w:rFonts w:ascii="Arial" w:hAnsi="Arial" w:cs="Arial"/>
                <w:color w:val="000000"/>
                <w:sz w:val="22"/>
              </w:rPr>
              <w:t xml:space="preserve"> </w:t>
            </w:r>
            <w:r w:rsidRPr="00C35DF7">
              <w:rPr>
                <w:rFonts w:ascii="Arial" w:hAnsi="Arial" w:cs="Arial"/>
                <w:color w:val="000000"/>
                <w:sz w:val="22"/>
              </w:rPr>
              <w:t>32’</w:t>
            </w:r>
          </w:p>
        </w:tc>
        <w:tc>
          <w:tcPr>
            <w:tcW w:w="2334"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w:t>
            </w:r>
            <w:r>
              <w:rPr>
                <w:rFonts w:ascii="Arial" w:hAnsi="Arial" w:cs="Arial"/>
                <w:color w:val="000000"/>
                <w:sz w:val="22"/>
              </w:rPr>
              <w:t xml:space="preserve"> </w:t>
            </w:r>
            <w:r w:rsidRPr="00C35DF7">
              <w:rPr>
                <w:rFonts w:ascii="Arial" w:hAnsi="Arial" w:cs="Arial"/>
                <w:color w:val="000000"/>
                <w:sz w:val="22"/>
              </w:rPr>
              <w:t>39’</w:t>
            </w:r>
          </w:p>
        </w:tc>
      </w:tr>
      <w:tr w:rsidR="00AF014F" w:rsidRPr="00DC71BC" w:rsidTr="00AF014F">
        <w:trPr>
          <w:trHeight w:val="288"/>
        </w:trPr>
        <w:tc>
          <w:tcPr>
            <w:tcW w:w="767" w:type="dxa"/>
            <w:vAlign w:val="center"/>
          </w:tcPr>
          <w:p w:rsidR="00AF014F" w:rsidRPr="00C35DF7" w:rsidRDefault="00AF014F" w:rsidP="00AF014F">
            <w:pPr>
              <w:jc w:val="center"/>
              <w:rPr>
                <w:rFonts w:ascii="Arial" w:hAnsi="Arial" w:cs="Arial"/>
              </w:rPr>
            </w:pPr>
            <w:r w:rsidRPr="00C35DF7">
              <w:rPr>
                <w:rFonts w:ascii="Arial" w:hAnsi="Arial" w:cs="Arial"/>
                <w:sz w:val="22"/>
              </w:rPr>
              <w:t>11</w:t>
            </w:r>
          </w:p>
        </w:tc>
        <w:tc>
          <w:tcPr>
            <w:tcW w:w="549"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33°</w:t>
            </w:r>
          </w:p>
        </w:tc>
        <w:tc>
          <w:tcPr>
            <w:tcW w:w="1086" w:type="dxa"/>
            <w:tcBorders>
              <w:left w:val="nil"/>
            </w:tcBorders>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18’</w:t>
            </w:r>
          </w:p>
        </w:tc>
        <w:tc>
          <w:tcPr>
            <w:tcW w:w="2386" w:type="dxa"/>
            <w:tcBorders>
              <w:right w:val="single" w:sz="4" w:space="0" w:color="auto"/>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77°</w:t>
            </w:r>
            <w:r>
              <w:rPr>
                <w:rFonts w:ascii="Arial" w:hAnsi="Arial" w:cs="Arial"/>
                <w:color w:val="000000"/>
                <w:sz w:val="22"/>
              </w:rPr>
              <w:t xml:space="preserve"> </w:t>
            </w:r>
            <w:r w:rsidRPr="00C35DF7">
              <w:rPr>
                <w:rFonts w:ascii="Arial" w:hAnsi="Arial" w:cs="Arial"/>
                <w:color w:val="000000"/>
                <w:sz w:val="22"/>
              </w:rPr>
              <w:t>41’</w:t>
            </w:r>
          </w:p>
        </w:tc>
        <w:tc>
          <w:tcPr>
            <w:tcW w:w="990" w:type="dxa"/>
            <w:tcBorders>
              <w:right w:val="single" w:sz="4" w:space="0" w:color="auto"/>
            </w:tcBorders>
            <w:vAlign w:val="center"/>
          </w:tcPr>
          <w:p w:rsidR="00AF014F" w:rsidRPr="00C35DF7" w:rsidRDefault="00AF014F" w:rsidP="00AF014F">
            <w:pPr>
              <w:jc w:val="center"/>
              <w:rPr>
                <w:rFonts w:ascii="Arial" w:hAnsi="Arial" w:cs="Arial"/>
                <w:color w:val="000000"/>
              </w:rPr>
            </w:pPr>
            <w:r w:rsidRPr="00C35DF7">
              <w:rPr>
                <w:rFonts w:ascii="Arial" w:hAnsi="Arial" w:cs="Arial"/>
                <w:sz w:val="22"/>
              </w:rPr>
              <w:t>25</w:t>
            </w:r>
          </w:p>
        </w:tc>
        <w:tc>
          <w:tcPr>
            <w:tcW w:w="1536"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29°</w:t>
            </w:r>
            <w:r>
              <w:rPr>
                <w:rFonts w:ascii="Arial" w:hAnsi="Arial" w:cs="Arial"/>
                <w:color w:val="000000"/>
                <w:sz w:val="22"/>
              </w:rPr>
              <w:t xml:space="preserve"> </w:t>
            </w:r>
            <w:r w:rsidRPr="00C35DF7">
              <w:rPr>
                <w:rFonts w:ascii="Arial" w:hAnsi="Arial" w:cs="Arial"/>
                <w:color w:val="000000"/>
                <w:sz w:val="22"/>
              </w:rPr>
              <w:t>22’</w:t>
            </w:r>
          </w:p>
        </w:tc>
        <w:tc>
          <w:tcPr>
            <w:tcW w:w="2334"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w:t>
            </w:r>
            <w:r>
              <w:rPr>
                <w:rFonts w:ascii="Arial" w:hAnsi="Arial" w:cs="Arial"/>
                <w:color w:val="000000"/>
                <w:sz w:val="22"/>
              </w:rPr>
              <w:t xml:space="preserve"> </w:t>
            </w:r>
            <w:r w:rsidRPr="00C35DF7">
              <w:rPr>
                <w:rFonts w:ascii="Arial" w:hAnsi="Arial" w:cs="Arial"/>
                <w:color w:val="000000"/>
                <w:sz w:val="22"/>
              </w:rPr>
              <w:t>44’</w:t>
            </w:r>
          </w:p>
        </w:tc>
      </w:tr>
      <w:tr w:rsidR="00AF014F" w:rsidRPr="00DC71BC" w:rsidTr="00AF014F">
        <w:trPr>
          <w:trHeight w:val="288"/>
        </w:trPr>
        <w:tc>
          <w:tcPr>
            <w:tcW w:w="767" w:type="dxa"/>
            <w:shd w:val="clear" w:color="auto" w:fill="F2F2F2" w:themeFill="background1" w:themeFillShade="F2"/>
            <w:vAlign w:val="center"/>
          </w:tcPr>
          <w:p w:rsidR="00AF014F" w:rsidRPr="00C35DF7" w:rsidRDefault="00AF014F" w:rsidP="00AF014F">
            <w:pPr>
              <w:jc w:val="center"/>
              <w:rPr>
                <w:rFonts w:ascii="Arial" w:hAnsi="Arial" w:cs="Arial"/>
              </w:rPr>
            </w:pPr>
            <w:r w:rsidRPr="00C35DF7">
              <w:rPr>
                <w:rFonts w:ascii="Arial" w:hAnsi="Arial" w:cs="Arial"/>
                <w:sz w:val="22"/>
              </w:rPr>
              <w:t>12</w:t>
            </w:r>
          </w:p>
        </w:tc>
        <w:tc>
          <w:tcPr>
            <w:tcW w:w="549"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33°</w:t>
            </w:r>
          </w:p>
        </w:tc>
        <w:tc>
          <w:tcPr>
            <w:tcW w:w="1086" w:type="dxa"/>
            <w:tcBorders>
              <w:left w:val="nil"/>
            </w:tcBorders>
            <w:shd w:val="clear" w:color="auto" w:fill="F2F2F2" w:themeFill="background1" w:themeFillShade="F2"/>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22’</w:t>
            </w:r>
          </w:p>
        </w:tc>
        <w:tc>
          <w:tcPr>
            <w:tcW w:w="238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77°</w:t>
            </w:r>
            <w:r>
              <w:rPr>
                <w:rFonts w:ascii="Arial" w:hAnsi="Arial" w:cs="Arial"/>
                <w:color w:val="000000"/>
                <w:sz w:val="22"/>
              </w:rPr>
              <w:t xml:space="preserve"> </w:t>
            </w:r>
            <w:r w:rsidRPr="00C35DF7">
              <w:rPr>
                <w:rFonts w:ascii="Arial" w:hAnsi="Arial" w:cs="Arial"/>
                <w:color w:val="000000"/>
                <w:sz w:val="22"/>
              </w:rPr>
              <w:t>56’</w:t>
            </w:r>
          </w:p>
        </w:tc>
        <w:tc>
          <w:tcPr>
            <w:tcW w:w="990" w:type="dxa"/>
            <w:tcBorders>
              <w:right w:val="single" w:sz="4" w:space="0" w:color="auto"/>
            </w:tcBorders>
            <w:shd w:val="clear" w:color="auto" w:fill="F2F2F2" w:themeFill="background1" w:themeFillShade="F2"/>
            <w:vAlign w:val="center"/>
          </w:tcPr>
          <w:p w:rsidR="00AF014F" w:rsidRPr="00C35DF7" w:rsidRDefault="00AF014F" w:rsidP="00AF014F">
            <w:pPr>
              <w:jc w:val="center"/>
              <w:rPr>
                <w:rFonts w:ascii="Arial" w:hAnsi="Arial" w:cs="Arial"/>
                <w:color w:val="000000"/>
              </w:rPr>
            </w:pPr>
            <w:r w:rsidRPr="00C35DF7">
              <w:rPr>
                <w:rFonts w:ascii="Arial" w:hAnsi="Arial" w:cs="Arial"/>
                <w:sz w:val="22"/>
              </w:rPr>
              <w:t>26</w:t>
            </w:r>
          </w:p>
        </w:tc>
        <w:tc>
          <w:tcPr>
            <w:tcW w:w="153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28°</w:t>
            </w:r>
            <w:r>
              <w:rPr>
                <w:rFonts w:ascii="Arial" w:hAnsi="Arial" w:cs="Arial"/>
                <w:color w:val="000000"/>
                <w:sz w:val="22"/>
              </w:rPr>
              <w:t xml:space="preserve"> </w:t>
            </w:r>
            <w:r w:rsidRPr="00C35DF7">
              <w:rPr>
                <w:rFonts w:ascii="Arial" w:hAnsi="Arial" w:cs="Arial"/>
                <w:color w:val="000000"/>
                <w:sz w:val="22"/>
              </w:rPr>
              <w:t>50’</w:t>
            </w:r>
          </w:p>
        </w:tc>
        <w:tc>
          <w:tcPr>
            <w:tcW w:w="2334"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w:t>
            </w:r>
            <w:r>
              <w:rPr>
                <w:rFonts w:ascii="Arial" w:hAnsi="Arial" w:cs="Arial"/>
                <w:color w:val="000000"/>
                <w:sz w:val="22"/>
              </w:rPr>
              <w:t xml:space="preserve"> </w:t>
            </w:r>
            <w:r w:rsidRPr="00C35DF7">
              <w:rPr>
                <w:rFonts w:ascii="Arial" w:hAnsi="Arial" w:cs="Arial"/>
                <w:color w:val="000000"/>
                <w:sz w:val="22"/>
              </w:rPr>
              <w:t>22’</w:t>
            </w:r>
          </w:p>
        </w:tc>
      </w:tr>
      <w:tr w:rsidR="00AF014F" w:rsidRPr="00DC71BC" w:rsidTr="00AF014F">
        <w:trPr>
          <w:trHeight w:val="288"/>
        </w:trPr>
        <w:tc>
          <w:tcPr>
            <w:tcW w:w="767" w:type="dxa"/>
            <w:vAlign w:val="center"/>
          </w:tcPr>
          <w:p w:rsidR="00AF014F" w:rsidRPr="00C35DF7" w:rsidRDefault="00AF014F" w:rsidP="00AF014F">
            <w:pPr>
              <w:jc w:val="center"/>
              <w:rPr>
                <w:rFonts w:ascii="Arial" w:hAnsi="Arial" w:cs="Arial"/>
              </w:rPr>
            </w:pPr>
            <w:r w:rsidRPr="00C35DF7">
              <w:rPr>
                <w:rFonts w:ascii="Arial" w:hAnsi="Arial" w:cs="Arial"/>
                <w:sz w:val="22"/>
              </w:rPr>
              <w:t>13</w:t>
            </w:r>
          </w:p>
        </w:tc>
        <w:tc>
          <w:tcPr>
            <w:tcW w:w="549"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33°</w:t>
            </w:r>
          </w:p>
        </w:tc>
        <w:tc>
          <w:tcPr>
            <w:tcW w:w="1086" w:type="dxa"/>
            <w:tcBorders>
              <w:left w:val="nil"/>
            </w:tcBorders>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12’</w:t>
            </w:r>
          </w:p>
        </w:tc>
        <w:tc>
          <w:tcPr>
            <w:tcW w:w="2386" w:type="dxa"/>
            <w:tcBorders>
              <w:right w:val="single" w:sz="4" w:space="0" w:color="auto"/>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78°</w:t>
            </w:r>
            <w:r>
              <w:rPr>
                <w:rFonts w:ascii="Arial" w:hAnsi="Arial" w:cs="Arial"/>
                <w:color w:val="000000"/>
                <w:sz w:val="22"/>
              </w:rPr>
              <w:t xml:space="preserve"> </w:t>
            </w:r>
            <w:r w:rsidRPr="00C35DF7">
              <w:rPr>
                <w:rFonts w:ascii="Arial" w:hAnsi="Arial" w:cs="Arial"/>
                <w:color w:val="000000"/>
                <w:sz w:val="22"/>
              </w:rPr>
              <w:t>20’</w:t>
            </w:r>
          </w:p>
        </w:tc>
        <w:tc>
          <w:tcPr>
            <w:tcW w:w="990" w:type="dxa"/>
            <w:tcBorders>
              <w:right w:val="single" w:sz="4" w:space="0" w:color="auto"/>
            </w:tcBorders>
            <w:vAlign w:val="center"/>
          </w:tcPr>
          <w:p w:rsidR="00AF014F" w:rsidRPr="00C35DF7" w:rsidRDefault="00AF014F" w:rsidP="00AF014F">
            <w:pPr>
              <w:jc w:val="center"/>
              <w:rPr>
                <w:rFonts w:ascii="Arial" w:hAnsi="Arial" w:cs="Arial"/>
                <w:color w:val="000000"/>
              </w:rPr>
            </w:pPr>
            <w:r w:rsidRPr="00C35DF7">
              <w:rPr>
                <w:rFonts w:ascii="Arial" w:hAnsi="Arial" w:cs="Arial"/>
                <w:sz w:val="22"/>
              </w:rPr>
              <w:t>27</w:t>
            </w:r>
          </w:p>
        </w:tc>
        <w:tc>
          <w:tcPr>
            <w:tcW w:w="1536"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28°</w:t>
            </w:r>
            <w:r>
              <w:rPr>
                <w:rFonts w:ascii="Arial" w:hAnsi="Arial" w:cs="Arial"/>
                <w:color w:val="000000"/>
                <w:sz w:val="22"/>
              </w:rPr>
              <w:t xml:space="preserve"> </w:t>
            </w:r>
            <w:r w:rsidRPr="00C35DF7">
              <w:rPr>
                <w:rFonts w:ascii="Arial" w:hAnsi="Arial" w:cs="Arial"/>
                <w:color w:val="000000"/>
                <w:sz w:val="22"/>
              </w:rPr>
              <w:t>21’</w:t>
            </w:r>
          </w:p>
        </w:tc>
        <w:tc>
          <w:tcPr>
            <w:tcW w:w="2334" w:type="dxa"/>
            <w:tcBorders>
              <w:right w:val="single" w:sz="4" w:space="0" w:color="auto"/>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w:t>
            </w:r>
            <w:r>
              <w:rPr>
                <w:rFonts w:ascii="Arial" w:hAnsi="Arial" w:cs="Arial"/>
                <w:color w:val="000000"/>
                <w:sz w:val="22"/>
              </w:rPr>
              <w:t xml:space="preserve"> </w:t>
            </w:r>
            <w:r w:rsidRPr="00C35DF7">
              <w:rPr>
                <w:rFonts w:ascii="Arial" w:hAnsi="Arial" w:cs="Arial"/>
                <w:color w:val="000000"/>
                <w:sz w:val="22"/>
              </w:rPr>
              <w:t>18’</w:t>
            </w:r>
          </w:p>
        </w:tc>
      </w:tr>
      <w:tr w:rsidR="00AF014F" w:rsidRPr="00DC71BC" w:rsidTr="00AF014F">
        <w:trPr>
          <w:trHeight w:val="288"/>
        </w:trPr>
        <w:tc>
          <w:tcPr>
            <w:tcW w:w="767" w:type="dxa"/>
            <w:shd w:val="clear" w:color="auto" w:fill="F2F2F2" w:themeFill="background1" w:themeFillShade="F2"/>
            <w:vAlign w:val="center"/>
          </w:tcPr>
          <w:p w:rsidR="00AF014F" w:rsidRPr="00C35DF7" w:rsidRDefault="00AF014F" w:rsidP="00AF014F">
            <w:pPr>
              <w:jc w:val="center"/>
              <w:rPr>
                <w:rFonts w:ascii="Arial" w:hAnsi="Arial" w:cs="Arial"/>
              </w:rPr>
            </w:pPr>
            <w:r w:rsidRPr="00C35DF7">
              <w:rPr>
                <w:rFonts w:ascii="Arial" w:hAnsi="Arial" w:cs="Arial"/>
                <w:sz w:val="22"/>
              </w:rPr>
              <w:t>14</w:t>
            </w:r>
          </w:p>
        </w:tc>
        <w:tc>
          <w:tcPr>
            <w:tcW w:w="549"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33°</w:t>
            </w:r>
          </w:p>
        </w:tc>
        <w:tc>
          <w:tcPr>
            <w:tcW w:w="1086" w:type="dxa"/>
            <w:tcBorders>
              <w:left w:val="nil"/>
            </w:tcBorders>
            <w:shd w:val="clear" w:color="auto" w:fill="F2F2F2" w:themeFill="background1" w:themeFillShade="F2"/>
            <w:vAlign w:val="bottom"/>
          </w:tcPr>
          <w:p w:rsidR="00AF014F" w:rsidRPr="00C35DF7" w:rsidRDefault="00AF014F" w:rsidP="00AF014F">
            <w:pPr>
              <w:ind w:right="576"/>
              <w:jc w:val="center"/>
              <w:rPr>
                <w:rFonts w:ascii="Arial" w:hAnsi="Arial" w:cs="Arial"/>
              </w:rPr>
            </w:pPr>
            <w:r w:rsidRPr="00C35DF7">
              <w:rPr>
                <w:rFonts w:ascii="Arial" w:hAnsi="Arial" w:cs="Arial"/>
                <w:color w:val="000000"/>
                <w:sz w:val="22"/>
              </w:rPr>
              <w:t>05’</w:t>
            </w:r>
          </w:p>
        </w:tc>
        <w:tc>
          <w:tcPr>
            <w:tcW w:w="238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78°</w:t>
            </w:r>
            <w:r>
              <w:rPr>
                <w:rFonts w:ascii="Arial" w:hAnsi="Arial" w:cs="Arial"/>
                <w:color w:val="000000"/>
                <w:sz w:val="22"/>
              </w:rPr>
              <w:t xml:space="preserve"> </w:t>
            </w:r>
            <w:r w:rsidRPr="00C35DF7">
              <w:rPr>
                <w:rFonts w:ascii="Arial" w:hAnsi="Arial" w:cs="Arial"/>
                <w:color w:val="000000"/>
                <w:sz w:val="22"/>
              </w:rPr>
              <w:t>22’</w:t>
            </w:r>
          </w:p>
        </w:tc>
        <w:tc>
          <w:tcPr>
            <w:tcW w:w="990" w:type="dxa"/>
            <w:tcBorders>
              <w:right w:val="single" w:sz="4" w:space="0" w:color="auto"/>
            </w:tcBorders>
            <w:shd w:val="clear" w:color="auto" w:fill="F2F2F2" w:themeFill="background1" w:themeFillShade="F2"/>
            <w:vAlign w:val="center"/>
          </w:tcPr>
          <w:p w:rsidR="00AF014F" w:rsidRPr="00C35DF7" w:rsidRDefault="00AF014F" w:rsidP="00AF014F">
            <w:pPr>
              <w:jc w:val="center"/>
              <w:rPr>
                <w:rFonts w:ascii="Arial" w:hAnsi="Arial" w:cs="Arial"/>
                <w:color w:val="000000"/>
              </w:rPr>
            </w:pPr>
            <w:r w:rsidRPr="00C35DF7">
              <w:rPr>
                <w:rFonts w:ascii="Arial" w:hAnsi="Arial" w:cs="Arial"/>
                <w:sz w:val="22"/>
              </w:rPr>
              <w:t>28</w:t>
            </w:r>
          </w:p>
        </w:tc>
        <w:tc>
          <w:tcPr>
            <w:tcW w:w="1536"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28°</w:t>
            </w:r>
            <w:r>
              <w:rPr>
                <w:rFonts w:ascii="Arial" w:hAnsi="Arial" w:cs="Arial"/>
                <w:color w:val="000000"/>
                <w:sz w:val="22"/>
              </w:rPr>
              <w:t xml:space="preserve"> </w:t>
            </w:r>
            <w:r w:rsidRPr="00C35DF7">
              <w:rPr>
                <w:rFonts w:ascii="Arial" w:hAnsi="Arial" w:cs="Arial"/>
                <w:color w:val="000000"/>
                <w:sz w:val="22"/>
              </w:rPr>
              <w:t>21’</w:t>
            </w:r>
          </w:p>
        </w:tc>
        <w:tc>
          <w:tcPr>
            <w:tcW w:w="2334" w:type="dxa"/>
            <w:tcBorders>
              <w:right w:val="single" w:sz="4" w:space="0" w:color="auto"/>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State/EEZ boundary</w:t>
            </w:r>
          </w:p>
        </w:tc>
      </w:tr>
    </w:tbl>
    <w:p w:rsidR="00AF014F" w:rsidRPr="00E34FB0" w:rsidRDefault="00AF014F" w:rsidP="00AF014F">
      <w:pPr>
        <w:rPr>
          <w:sz w:val="20"/>
          <w:szCs w:val="20"/>
        </w:rPr>
      </w:pPr>
      <w:r w:rsidRPr="00E34FB0">
        <w:rPr>
          <w:iCs/>
          <w:sz w:val="20"/>
          <w:szCs w:val="20"/>
        </w:rPr>
        <w:t>Source: Amanda Frick, NMFS SERO</w:t>
      </w:r>
    </w:p>
    <w:p w:rsidR="00AF014F" w:rsidRDefault="00AF014F" w:rsidP="00AF014F">
      <w:pPr>
        <w:rPr>
          <w:b/>
        </w:rPr>
      </w:pPr>
    </w:p>
    <w:p w:rsidR="00AF014F" w:rsidRDefault="00AF014F" w:rsidP="00AF014F">
      <w:pPr>
        <w:jc w:val="center"/>
      </w:pPr>
      <w:r>
        <w:rPr>
          <w:noProof/>
        </w:rPr>
        <w:lastRenderedPageBreak/>
        <w:drawing>
          <wp:inline distT="0" distB="0" distL="0" distR="0">
            <wp:extent cx="5943600" cy="73653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4new.pn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7365365"/>
                    </a:xfrm>
                    <a:prstGeom prst="rect">
                      <a:avLst/>
                    </a:prstGeom>
                  </pic:spPr>
                </pic:pic>
              </a:graphicData>
            </a:graphic>
          </wp:inline>
        </w:drawing>
      </w:r>
    </w:p>
    <w:p w:rsidR="00AF014F" w:rsidRPr="00E34FB0" w:rsidRDefault="00AF014F" w:rsidP="00AF014F">
      <w:pPr>
        <w:pStyle w:val="Figuretitle"/>
        <w:rPr>
          <w:rFonts w:ascii="Arial" w:hAnsi="Arial" w:cs="Arial"/>
          <w:sz w:val="20"/>
          <w:szCs w:val="20"/>
        </w:rPr>
      </w:pPr>
      <w:bookmarkStart w:id="4" w:name="_Toc302115348"/>
      <w:proofErr w:type="gramStart"/>
      <w:r w:rsidRPr="00E34FB0">
        <w:rPr>
          <w:rFonts w:ascii="Arial" w:hAnsi="Arial" w:cs="Arial"/>
          <w:b/>
          <w:sz w:val="20"/>
          <w:szCs w:val="20"/>
        </w:rPr>
        <w:t>Figure 2.1.3.</w:t>
      </w:r>
      <w:proofErr w:type="gramEnd"/>
      <w:r w:rsidRPr="00E34FB0">
        <w:rPr>
          <w:rFonts w:ascii="Arial" w:hAnsi="Arial" w:cs="Arial"/>
          <w:b/>
          <w:sz w:val="20"/>
          <w:szCs w:val="20"/>
        </w:rPr>
        <w:t xml:space="preserve">  </w:t>
      </w:r>
      <w:proofErr w:type="gramStart"/>
      <w:r w:rsidRPr="00E34FB0">
        <w:rPr>
          <w:rFonts w:ascii="Arial" w:hAnsi="Arial" w:cs="Arial"/>
          <w:sz w:val="20"/>
          <w:szCs w:val="20"/>
        </w:rPr>
        <w:t>Area for the proposed black sea bass pot closure</w:t>
      </w:r>
      <w:r w:rsidR="000242E5" w:rsidRPr="00E34FB0">
        <w:rPr>
          <w:rFonts w:ascii="Arial" w:hAnsi="Arial" w:cs="Arial"/>
          <w:sz w:val="20"/>
          <w:szCs w:val="20"/>
        </w:rPr>
        <w:fldChar w:fldCharType="begin"/>
      </w:r>
      <w:r w:rsidRPr="00E34FB0">
        <w:rPr>
          <w:rFonts w:ascii="Arial" w:hAnsi="Arial" w:cs="Arial"/>
          <w:sz w:val="20"/>
          <w:szCs w:val="20"/>
        </w:rPr>
        <w:instrText xml:space="preserve"> XE "</w:instrText>
      </w:r>
      <w:r w:rsidRPr="00E34FB0">
        <w:rPr>
          <w:rStyle w:val="FiguretitleChar1"/>
          <w:rFonts w:ascii="Arial" w:eastAsiaTheme="minorHAnsi" w:hAnsi="Arial" w:cs="Arial"/>
          <w:sz w:val="20"/>
          <w:szCs w:val="20"/>
        </w:rPr>
        <w:instrText>black sea bass pot closure</w:instrText>
      </w:r>
      <w:r w:rsidRPr="00E34FB0">
        <w:rPr>
          <w:rFonts w:ascii="Arial" w:hAnsi="Arial" w:cs="Arial"/>
          <w:sz w:val="20"/>
          <w:szCs w:val="20"/>
        </w:rPr>
        <w:instrText xml:space="preserve">" </w:instrText>
      </w:r>
      <w:r w:rsidR="000242E5" w:rsidRPr="00E34FB0">
        <w:rPr>
          <w:rFonts w:ascii="Arial" w:hAnsi="Arial" w:cs="Arial"/>
          <w:sz w:val="20"/>
          <w:szCs w:val="20"/>
        </w:rPr>
        <w:fldChar w:fldCharType="end"/>
      </w:r>
      <w:r w:rsidRPr="00E34FB0">
        <w:rPr>
          <w:rFonts w:ascii="Arial" w:hAnsi="Arial" w:cs="Arial"/>
          <w:sz w:val="20"/>
          <w:szCs w:val="20"/>
        </w:rPr>
        <w:t xml:space="preserve"> in </w:t>
      </w:r>
      <w:r w:rsidRPr="00E34FB0">
        <w:rPr>
          <w:rFonts w:ascii="Arial" w:hAnsi="Arial" w:cs="Arial"/>
          <w:b/>
          <w:sz w:val="20"/>
          <w:szCs w:val="20"/>
        </w:rPr>
        <w:t>Alternative 4</w:t>
      </w:r>
      <w:r w:rsidRPr="00E34FB0">
        <w:rPr>
          <w:rFonts w:ascii="Arial" w:hAnsi="Arial" w:cs="Arial"/>
          <w:sz w:val="20"/>
          <w:szCs w:val="20"/>
        </w:rPr>
        <w:t>.</w:t>
      </w:r>
      <w:bookmarkEnd w:id="4"/>
      <w:proofErr w:type="gramEnd"/>
    </w:p>
    <w:p w:rsidR="00AF014F" w:rsidRPr="00E34FB0" w:rsidRDefault="00AF014F" w:rsidP="00AF014F">
      <w:pPr>
        <w:rPr>
          <w:sz w:val="20"/>
          <w:szCs w:val="20"/>
        </w:rPr>
      </w:pPr>
      <w:r w:rsidRPr="00E34FB0">
        <w:rPr>
          <w:iCs/>
          <w:sz w:val="20"/>
          <w:szCs w:val="20"/>
        </w:rPr>
        <w:t>Source: Amanda Frick, NMFS SERO</w:t>
      </w:r>
    </w:p>
    <w:p w:rsidR="00AF014F" w:rsidRPr="002D2AD5" w:rsidRDefault="00AF014F" w:rsidP="00AF014F">
      <w:pPr>
        <w:rPr>
          <w:b/>
        </w:rPr>
      </w:pPr>
      <w:proofErr w:type="gramStart"/>
      <w:r w:rsidRPr="00DC71BC">
        <w:rPr>
          <w:b/>
        </w:rPr>
        <w:lastRenderedPageBreak/>
        <w:t xml:space="preserve">Alternative </w:t>
      </w:r>
      <w:r>
        <w:rPr>
          <w:b/>
        </w:rPr>
        <w:t>5</w:t>
      </w:r>
      <w:r w:rsidRPr="00DC71BC">
        <w:rPr>
          <w:b/>
        </w:rPr>
        <w:t>.</w:t>
      </w:r>
      <w:proofErr w:type="gramEnd"/>
      <w:r w:rsidRPr="00DC71BC">
        <w:t xml:space="preserve">  </w:t>
      </w:r>
      <w:r w:rsidRPr="00DC71BC">
        <w:rPr>
          <w:iCs/>
        </w:rPr>
        <w:t>The black sea bass pot closure</w:t>
      </w:r>
      <w:r w:rsidR="000242E5">
        <w:rPr>
          <w:iCs/>
        </w:rPr>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rPr>
          <w:iCs/>
        </w:rPr>
        <w:fldChar w:fldCharType="end"/>
      </w:r>
      <w:r w:rsidRPr="00DC71BC">
        <w:rPr>
          <w:iCs/>
        </w:rPr>
        <w:t xml:space="preserve"> applies to waters inshore of points 1-28 listed below </w:t>
      </w:r>
      <w:r w:rsidRPr="00DC71BC">
        <w:rPr>
          <w:b/>
          <w:iCs/>
        </w:rPr>
        <w:t>(Table 2.1.3)</w:t>
      </w:r>
      <w:r w:rsidRPr="00DC71BC">
        <w:rPr>
          <w:iCs/>
        </w:rPr>
        <w:t xml:space="preserve">; approximately </w:t>
      </w:r>
      <w:r w:rsidRPr="00783EA5">
        <w:rPr>
          <w:iCs/>
        </w:rPr>
        <w:t>Daytona Beach, Florida</w:t>
      </w:r>
      <w:r w:rsidRPr="00DC71BC">
        <w:rPr>
          <w:iCs/>
        </w:rPr>
        <w:t xml:space="preserve">, to Cape Hatteras, North Carolina </w:t>
      </w:r>
      <w:r w:rsidRPr="00DC71BC">
        <w:rPr>
          <w:b/>
          <w:iCs/>
        </w:rPr>
        <w:t>(Figure 2.1.4)</w:t>
      </w:r>
      <w:r w:rsidRPr="00DC71BC">
        <w:rPr>
          <w:iCs/>
        </w:rPr>
        <w:t xml:space="preserve">.  The closure applies to the area annually from November 1 through April 30. </w:t>
      </w:r>
    </w:p>
    <w:p w:rsidR="00AF014F" w:rsidRPr="00DC71BC" w:rsidRDefault="00AF014F" w:rsidP="00AF014F"/>
    <w:p w:rsidR="00AF014F" w:rsidRDefault="00AF014F" w:rsidP="00AF014F">
      <w:r w:rsidRPr="00DC71BC">
        <w:t xml:space="preserve">This area is based on joint comments received from non-government organizations (dated January 3, 2014) in response to NMFS’ December 4, </w:t>
      </w:r>
      <w:proofErr w:type="gramStart"/>
      <w:r w:rsidRPr="00DC71BC">
        <w:t>2013,</w:t>
      </w:r>
      <w:proofErr w:type="gramEnd"/>
      <w:r w:rsidRPr="00DC71BC">
        <w:t xml:space="preserve"> </w:t>
      </w:r>
      <w:r w:rsidRPr="00DC71BC">
        <w:rPr>
          <w:i/>
        </w:rPr>
        <w:t>Federal Register</w:t>
      </w:r>
      <w:r w:rsidRPr="00DC71BC">
        <w:t xml:space="preserve"> Notice of Intent to Prepare this Draft Environmental Impact Statement (DEIS) (78 FR 72868).  The non-government organizations proposed the area as a reasonable alternative for consideration.  The area, also included in a Center for Biological Diversity</w:t>
      </w:r>
      <w:r w:rsidR="000242E5">
        <w:fldChar w:fldCharType="begin"/>
      </w:r>
      <w:r>
        <w:instrText xml:space="preserve"> XE "</w:instrText>
      </w:r>
      <w:r w:rsidRPr="002F285D">
        <w:instrText>Center for Biological Diversity</w:instrText>
      </w:r>
      <w:r>
        <w:instrText xml:space="preserve">" </w:instrText>
      </w:r>
      <w:r w:rsidR="000242E5">
        <w:fldChar w:fldCharType="end"/>
      </w:r>
      <w:r w:rsidRPr="00DC71BC">
        <w:t xml:space="preserve"> et al. petition in 2009 for right whale critical habitat, is off the coasts of Georgia and Florida and based on calving right whale habitat modeling work of Garrison (2007) and Keller et al. (2012).  This area represents the 75</w:t>
      </w:r>
      <w:r w:rsidRPr="00B83236">
        <w:rPr>
          <w:vertAlign w:val="superscript"/>
        </w:rPr>
        <w:t>th</w:t>
      </w:r>
      <w:r w:rsidRPr="00DC71BC">
        <w:t xml:space="preserve"> percentile of sightings (91% of historical sightings included in their study) off Florida and Georgia (Garrison 2007 and Keller et al. 2012).  Off the coasts of North Carolina and South Carolina, the closure extends from the </w:t>
      </w:r>
      <w:r w:rsidRPr="00F64D05">
        <w:t>start of the EEZ</w:t>
      </w:r>
      <w:r w:rsidRPr="00DC71BC">
        <w:t xml:space="preserve"> to 30 nautical miles offshore.  </w:t>
      </w:r>
      <w:r w:rsidRPr="00DC71BC">
        <w:rPr>
          <w:iCs/>
        </w:rPr>
        <w:t>The map below provides approximate location of proposed boundary.</w:t>
      </w:r>
      <w:r>
        <w:rPr>
          <w:iCs/>
        </w:rPr>
        <w:t xml:space="preserve">  </w:t>
      </w:r>
    </w:p>
    <w:p w:rsidR="00AF014F" w:rsidRDefault="00AF014F" w:rsidP="00AF014F">
      <w:pPr>
        <w:rPr>
          <w:iCs/>
        </w:rPr>
      </w:pPr>
    </w:p>
    <w:p w:rsidR="00AF014F" w:rsidRDefault="00AF014F" w:rsidP="00AF014F">
      <w:pPr>
        <w:rPr>
          <w:rStyle w:val="Heading3Char"/>
          <w:rFonts w:eastAsiaTheme="minorHAnsi" w:cs="Times New Roman"/>
          <w:b w:val="0"/>
          <w:szCs w:val="24"/>
        </w:rPr>
      </w:pPr>
      <w:r w:rsidRPr="00E87D40">
        <w:rPr>
          <w:iCs/>
        </w:rPr>
        <w:t>Note</w:t>
      </w:r>
      <w:r>
        <w:rPr>
          <w:iCs/>
        </w:rPr>
        <w:t>:</w:t>
      </w:r>
      <w:r w:rsidRPr="00E87D40">
        <w:rPr>
          <w:iCs/>
        </w:rPr>
        <w:t xml:space="preserve"> </w:t>
      </w:r>
      <w:r>
        <w:rPr>
          <w:iCs/>
        </w:rPr>
        <w:t>F</w:t>
      </w:r>
      <w:r w:rsidRPr="00E87D40">
        <w:rPr>
          <w:iCs/>
        </w:rPr>
        <w:t>ederal regulations</w:t>
      </w:r>
      <w:r>
        <w:rPr>
          <w:iCs/>
        </w:rPr>
        <w:t xml:space="preserve"> would</w:t>
      </w:r>
      <w:r w:rsidRPr="00E87D40">
        <w:rPr>
          <w:iCs/>
        </w:rPr>
        <w:t xml:space="preserve"> only </w:t>
      </w:r>
      <w:r>
        <w:rPr>
          <w:iCs/>
        </w:rPr>
        <w:t>apply to that portion of the area within</w:t>
      </w:r>
      <w:r w:rsidRPr="00E87D40">
        <w:rPr>
          <w:iCs/>
        </w:rPr>
        <w:t xml:space="preserve"> the South Atlantic EEZ</w:t>
      </w:r>
      <w:r w:rsidR="000242E5">
        <w:rPr>
          <w:iCs/>
        </w:rPr>
        <w:fldChar w:fldCharType="begin"/>
      </w:r>
      <w:r>
        <w:instrText xml:space="preserve"> XE "</w:instrText>
      </w:r>
      <w:r w:rsidRPr="000E2ACD">
        <w:instrText>South Atlantic EEZ</w:instrText>
      </w:r>
      <w:r>
        <w:instrText xml:space="preserve">" </w:instrText>
      </w:r>
      <w:r w:rsidR="000242E5">
        <w:rPr>
          <w:iCs/>
        </w:rPr>
        <w:fldChar w:fldCharType="end"/>
      </w:r>
      <w:r w:rsidRPr="00E87D40">
        <w:rPr>
          <w:iCs/>
        </w:rPr>
        <w:t xml:space="preserve">.  The states will be asked to </w:t>
      </w:r>
      <w:r>
        <w:rPr>
          <w:iCs/>
        </w:rPr>
        <w:t>implement compatible</w:t>
      </w:r>
      <w:r w:rsidRPr="00E87D40">
        <w:rPr>
          <w:iCs/>
        </w:rPr>
        <w:t xml:space="preserve"> regulations </w:t>
      </w:r>
      <w:r>
        <w:rPr>
          <w:iCs/>
        </w:rPr>
        <w:t>with</w:t>
      </w:r>
      <w:r w:rsidRPr="00E87D40">
        <w:rPr>
          <w:iCs/>
        </w:rPr>
        <w:t>in state waters.</w:t>
      </w:r>
    </w:p>
    <w:p w:rsidR="00AF014F" w:rsidRDefault="00AF014F" w:rsidP="00AF014F"/>
    <w:p w:rsidR="00AF014F" w:rsidRPr="00E34FB0" w:rsidRDefault="00AF014F" w:rsidP="00AF014F">
      <w:pPr>
        <w:pStyle w:val="Tabletitle"/>
        <w:rPr>
          <w:rFonts w:cs="Arial"/>
        </w:rPr>
      </w:pPr>
      <w:bookmarkStart w:id="5" w:name="_Toc302115472"/>
      <w:proofErr w:type="gramStart"/>
      <w:r w:rsidRPr="00E34FB0">
        <w:rPr>
          <w:rFonts w:cs="Arial"/>
        </w:rPr>
        <w:t>Table 2.1.3.</w:t>
      </w:r>
      <w:proofErr w:type="gramEnd"/>
      <w:r w:rsidRPr="00E34FB0">
        <w:rPr>
          <w:rFonts w:cs="Arial"/>
        </w:rPr>
        <w:t xml:space="preserve">  </w:t>
      </w:r>
      <w:r w:rsidRPr="00E34FB0">
        <w:rPr>
          <w:rFonts w:cs="Arial"/>
          <w:b w:val="0"/>
        </w:rPr>
        <w:t xml:space="preserve">Eastern boundary coordinates for the proposed black sea Bass pot closure in </w:t>
      </w:r>
      <w:r w:rsidRPr="00E34FB0">
        <w:rPr>
          <w:rFonts w:cs="Arial"/>
        </w:rPr>
        <w:t>Alternative 5</w:t>
      </w:r>
      <w:r w:rsidRPr="00E34FB0">
        <w:rPr>
          <w:rFonts w:cs="Arial"/>
          <w:b w:val="0"/>
        </w:rPr>
        <w:t>.</w:t>
      </w:r>
      <w:bookmarkEnd w:id="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1412"/>
        <w:gridCol w:w="2253"/>
        <w:gridCol w:w="987"/>
        <w:gridCol w:w="1440"/>
        <w:gridCol w:w="2340"/>
      </w:tblGrid>
      <w:tr w:rsidR="00AF014F" w:rsidRPr="00DC71BC" w:rsidTr="00AF014F">
        <w:trPr>
          <w:trHeight w:val="540"/>
        </w:trPr>
        <w:tc>
          <w:tcPr>
            <w:tcW w:w="766"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br w:type="page"/>
              <w:t>Point</w:t>
            </w:r>
          </w:p>
        </w:tc>
        <w:tc>
          <w:tcPr>
            <w:tcW w:w="1412"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t>N Latitude</w:t>
            </w:r>
          </w:p>
        </w:tc>
        <w:tc>
          <w:tcPr>
            <w:tcW w:w="2253"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t>W Longitude</w:t>
            </w:r>
          </w:p>
        </w:tc>
        <w:tc>
          <w:tcPr>
            <w:tcW w:w="987"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br w:type="page"/>
              <w:t>Point</w:t>
            </w:r>
          </w:p>
        </w:tc>
        <w:tc>
          <w:tcPr>
            <w:tcW w:w="1440"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t>N Latitude</w:t>
            </w:r>
          </w:p>
        </w:tc>
        <w:tc>
          <w:tcPr>
            <w:tcW w:w="2340" w:type="dxa"/>
            <w:shd w:val="clear" w:color="auto" w:fill="D9D9D9"/>
            <w:vAlign w:val="center"/>
          </w:tcPr>
          <w:p w:rsidR="00AF014F" w:rsidRPr="00B10893" w:rsidRDefault="00AF014F" w:rsidP="00AF014F">
            <w:pPr>
              <w:jc w:val="center"/>
              <w:rPr>
                <w:rFonts w:ascii="Arial" w:hAnsi="Arial" w:cs="Arial"/>
                <w:b/>
              </w:rPr>
            </w:pPr>
            <w:r w:rsidRPr="00B10893">
              <w:rPr>
                <w:rFonts w:ascii="Arial" w:hAnsi="Arial" w:cs="Arial"/>
                <w:b/>
                <w:sz w:val="22"/>
              </w:rPr>
              <w:t>W Longitude</w:t>
            </w:r>
          </w:p>
        </w:tc>
      </w:tr>
      <w:tr w:rsidR="00AF014F" w:rsidRPr="00DC71BC" w:rsidTr="00AF014F">
        <w:trPr>
          <w:trHeight w:val="332"/>
        </w:trPr>
        <w:tc>
          <w:tcPr>
            <w:tcW w:w="766" w:type="dxa"/>
            <w:shd w:val="clear" w:color="auto" w:fill="auto"/>
            <w:vAlign w:val="bottom"/>
          </w:tcPr>
          <w:p w:rsidR="00AF014F" w:rsidRPr="00C35DF7" w:rsidRDefault="00AF014F" w:rsidP="00AF014F">
            <w:pPr>
              <w:ind w:right="-133"/>
              <w:jc w:val="center"/>
              <w:rPr>
                <w:rFonts w:ascii="Arial" w:hAnsi="Arial" w:cs="Arial"/>
              </w:rPr>
            </w:pPr>
            <w:r w:rsidRPr="00C35DF7">
              <w:rPr>
                <w:rFonts w:ascii="Arial" w:hAnsi="Arial" w:cs="Arial"/>
                <w:sz w:val="22"/>
              </w:rPr>
              <w:t>1</w:t>
            </w:r>
          </w:p>
        </w:tc>
        <w:tc>
          <w:tcPr>
            <w:tcW w:w="1412" w:type="dxa"/>
            <w:tcBorders>
              <w:right w:val="nil"/>
            </w:tcBorders>
            <w:shd w:val="clear" w:color="auto" w:fill="auto"/>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35°15</w:t>
            </w:r>
            <w:r>
              <w:rPr>
                <w:rFonts w:ascii="Arial" w:hAnsi="Arial" w:cs="Arial"/>
                <w:color w:val="000000"/>
                <w:sz w:val="22"/>
              </w:rPr>
              <w:t>’</w:t>
            </w:r>
          </w:p>
        </w:tc>
        <w:tc>
          <w:tcPr>
            <w:tcW w:w="2253" w:type="dxa"/>
            <w:tcBorders>
              <w:right w:val="single" w:sz="4" w:space="0" w:color="000000"/>
            </w:tcBorders>
            <w:shd w:val="clear" w:color="auto" w:fill="auto"/>
            <w:vAlign w:val="bottom"/>
          </w:tcPr>
          <w:p w:rsidR="00AF014F" w:rsidRPr="00C35DF7" w:rsidRDefault="00AF014F" w:rsidP="00AF014F">
            <w:pPr>
              <w:jc w:val="center"/>
              <w:rPr>
                <w:rFonts w:ascii="Arial" w:hAnsi="Arial" w:cs="Arial"/>
                <w:color w:val="000000"/>
              </w:rPr>
            </w:pPr>
            <w:r w:rsidRPr="00C35DF7">
              <w:rPr>
                <w:rFonts w:ascii="Arial" w:hAnsi="Arial" w:cs="Arial"/>
                <w:sz w:val="22"/>
              </w:rPr>
              <w:t>State/EEZ Boundary</w:t>
            </w:r>
          </w:p>
        </w:tc>
        <w:tc>
          <w:tcPr>
            <w:tcW w:w="987"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sz w:val="22"/>
              </w:rPr>
              <w:t>15</w:t>
            </w:r>
          </w:p>
        </w:tc>
        <w:tc>
          <w:tcPr>
            <w:tcW w:w="144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33°21</w:t>
            </w:r>
            <w:r>
              <w:rPr>
                <w:rFonts w:ascii="Arial" w:hAnsi="Arial" w:cs="Arial"/>
                <w:color w:val="000000"/>
                <w:sz w:val="22"/>
              </w:rPr>
              <w:t>’</w:t>
            </w:r>
          </w:p>
        </w:tc>
        <w:tc>
          <w:tcPr>
            <w:tcW w:w="234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77°45</w:t>
            </w:r>
            <w:r>
              <w:rPr>
                <w:rFonts w:ascii="Arial" w:hAnsi="Arial" w:cs="Arial"/>
                <w:color w:val="000000"/>
                <w:sz w:val="22"/>
              </w:rPr>
              <w:t>’</w:t>
            </w:r>
          </w:p>
        </w:tc>
      </w:tr>
      <w:tr w:rsidR="00AF014F" w:rsidRPr="00DC71BC" w:rsidTr="00AF014F">
        <w:trPr>
          <w:trHeight w:val="332"/>
        </w:trPr>
        <w:tc>
          <w:tcPr>
            <w:tcW w:w="766" w:type="dxa"/>
            <w:shd w:val="clear" w:color="auto" w:fill="F2F2F2" w:themeFill="background1" w:themeFillShade="F2"/>
            <w:vAlign w:val="bottom"/>
          </w:tcPr>
          <w:p w:rsidR="00AF014F" w:rsidRPr="00C35DF7" w:rsidRDefault="00AF014F" w:rsidP="00AF014F">
            <w:pPr>
              <w:ind w:right="-133"/>
              <w:jc w:val="center"/>
              <w:rPr>
                <w:rFonts w:ascii="Arial" w:hAnsi="Arial" w:cs="Arial"/>
              </w:rPr>
            </w:pPr>
            <w:r w:rsidRPr="00C35DF7">
              <w:rPr>
                <w:rFonts w:ascii="Arial" w:hAnsi="Arial" w:cs="Arial"/>
                <w:sz w:val="22"/>
              </w:rPr>
              <w:t>2</w:t>
            </w:r>
          </w:p>
        </w:tc>
        <w:tc>
          <w:tcPr>
            <w:tcW w:w="1412"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35°15</w:t>
            </w:r>
            <w:r>
              <w:rPr>
                <w:rFonts w:ascii="Arial" w:hAnsi="Arial" w:cs="Arial"/>
                <w:color w:val="000000"/>
                <w:sz w:val="22"/>
              </w:rPr>
              <w:t>’</w:t>
            </w:r>
          </w:p>
        </w:tc>
        <w:tc>
          <w:tcPr>
            <w:tcW w:w="2253"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74°54</w:t>
            </w:r>
            <w:r>
              <w:rPr>
                <w:rFonts w:ascii="Arial" w:hAnsi="Arial" w:cs="Arial"/>
                <w:color w:val="000000"/>
                <w:sz w:val="22"/>
              </w:rPr>
              <w:t>’</w:t>
            </w:r>
          </w:p>
        </w:tc>
        <w:tc>
          <w:tcPr>
            <w:tcW w:w="987"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sz w:val="22"/>
              </w:rPr>
              <w:t>16</w:t>
            </w:r>
          </w:p>
        </w:tc>
        <w:tc>
          <w:tcPr>
            <w:tcW w:w="14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33°19</w:t>
            </w:r>
            <w:r>
              <w:rPr>
                <w:rFonts w:ascii="Arial" w:hAnsi="Arial" w:cs="Arial"/>
                <w:color w:val="000000"/>
                <w:sz w:val="22"/>
              </w:rPr>
              <w:t>’</w:t>
            </w:r>
          </w:p>
        </w:tc>
        <w:tc>
          <w:tcPr>
            <w:tcW w:w="23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78°02</w:t>
            </w:r>
            <w:r>
              <w:rPr>
                <w:rFonts w:ascii="Arial" w:hAnsi="Arial" w:cs="Arial"/>
                <w:color w:val="000000"/>
                <w:sz w:val="22"/>
              </w:rPr>
              <w:t>’</w:t>
            </w:r>
          </w:p>
        </w:tc>
      </w:tr>
      <w:tr w:rsidR="00AF014F" w:rsidRPr="00DC71BC" w:rsidTr="00AF014F">
        <w:trPr>
          <w:trHeight w:val="332"/>
        </w:trPr>
        <w:tc>
          <w:tcPr>
            <w:tcW w:w="766" w:type="dxa"/>
            <w:vAlign w:val="bottom"/>
          </w:tcPr>
          <w:p w:rsidR="00AF014F" w:rsidRPr="00C35DF7" w:rsidRDefault="00AF014F" w:rsidP="00AF014F">
            <w:pPr>
              <w:ind w:right="-133"/>
              <w:jc w:val="center"/>
              <w:rPr>
                <w:rFonts w:ascii="Arial" w:hAnsi="Arial" w:cs="Arial"/>
              </w:rPr>
            </w:pPr>
            <w:r w:rsidRPr="00C35DF7">
              <w:rPr>
                <w:rFonts w:ascii="Arial" w:hAnsi="Arial" w:cs="Arial"/>
                <w:sz w:val="22"/>
              </w:rPr>
              <w:t>3</w:t>
            </w:r>
          </w:p>
        </w:tc>
        <w:tc>
          <w:tcPr>
            <w:tcW w:w="1412"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35°03</w:t>
            </w:r>
            <w:r>
              <w:rPr>
                <w:rFonts w:ascii="Arial" w:hAnsi="Arial" w:cs="Arial"/>
                <w:color w:val="000000"/>
                <w:sz w:val="22"/>
              </w:rPr>
              <w:t>’</w:t>
            </w:r>
          </w:p>
        </w:tc>
        <w:tc>
          <w:tcPr>
            <w:tcW w:w="2253"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74°57</w:t>
            </w:r>
            <w:r>
              <w:rPr>
                <w:rFonts w:ascii="Arial" w:hAnsi="Arial" w:cs="Arial"/>
                <w:color w:val="000000"/>
                <w:sz w:val="22"/>
              </w:rPr>
              <w:t>’</w:t>
            </w:r>
          </w:p>
        </w:tc>
        <w:tc>
          <w:tcPr>
            <w:tcW w:w="987"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sz w:val="22"/>
              </w:rPr>
              <w:t>17</w:t>
            </w:r>
          </w:p>
        </w:tc>
        <w:tc>
          <w:tcPr>
            <w:tcW w:w="14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33°24</w:t>
            </w:r>
            <w:r>
              <w:rPr>
                <w:rFonts w:ascii="Arial" w:hAnsi="Arial" w:cs="Arial"/>
                <w:color w:val="000000"/>
                <w:sz w:val="22"/>
              </w:rPr>
              <w:t>’</w:t>
            </w:r>
          </w:p>
        </w:tc>
        <w:tc>
          <w:tcPr>
            <w:tcW w:w="23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78°17</w:t>
            </w:r>
            <w:r>
              <w:rPr>
                <w:rFonts w:ascii="Arial" w:hAnsi="Arial" w:cs="Arial"/>
                <w:color w:val="000000"/>
                <w:sz w:val="22"/>
              </w:rPr>
              <w:t>’</w:t>
            </w:r>
          </w:p>
        </w:tc>
      </w:tr>
      <w:tr w:rsidR="00AF014F" w:rsidRPr="00DC71BC" w:rsidTr="00AF014F">
        <w:trPr>
          <w:trHeight w:val="332"/>
        </w:trPr>
        <w:tc>
          <w:tcPr>
            <w:tcW w:w="766" w:type="dxa"/>
            <w:shd w:val="clear" w:color="auto" w:fill="F2F2F2" w:themeFill="background1" w:themeFillShade="F2"/>
            <w:vAlign w:val="bottom"/>
          </w:tcPr>
          <w:p w:rsidR="00AF014F" w:rsidRPr="00C35DF7" w:rsidRDefault="00AF014F" w:rsidP="00AF014F">
            <w:pPr>
              <w:ind w:right="-133"/>
              <w:jc w:val="center"/>
              <w:rPr>
                <w:rFonts w:ascii="Arial" w:hAnsi="Arial" w:cs="Arial"/>
              </w:rPr>
            </w:pPr>
            <w:r w:rsidRPr="00C35DF7">
              <w:rPr>
                <w:rFonts w:ascii="Arial" w:hAnsi="Arial" w:cs="Arial"/>
                <w:sz w:val="22"/>
              </w:rPr>
              <w:t>4</w:t>
            </w:r>
          </w:p>
        </w:tc>
        <w:tc>
          <w:tcPr>
            <w:tcW w:w="1412"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34°51</w:t>
            </w:r>
            <w:r>
              <w:rPr>
                <w:rFonts w:ascii="Arial" w:hAnsi="Arial" w:cs="Arial"/>
                <w:color w:val="000000"/>
                <w:sz w:val="22"/>
              </w:rPr>
              <w:t>’</w:t>
            </w:r>
          </w:p>
        </w:tc>
        <w:tc>
          <w:tcPr>
            <w:tcW w:w="2253"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75°06</w:t>
            </w:r>
            <w:r>
              <w:rPr>
                <w:rFonts w:ascii="Arial" w:hAnsi="Arial" w:cs="Arial"/>
                <w:color w:val="000000"/>
                <w:sz w:val="22"/>
              </w:rPr>
              <w:t>’</w:t>
            </w:r>
          </w:p>
        </w:tc>
        <w:tc>
          <w:tcPr>
            <w:tcW w:w="987"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sz w:val="22"/>
              </w:rPr>
              <w:t>18</w:t>
            </w:r>
          </w:p>
        </w:tc>
        <w:tc>
          <w:tcPr>
            <w:tcW w:w="14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33°14</w:t>
            </w:r>
            <w:r>
              <w:rPr>
                <w:rFonts w:ascii="Arial" w:hAnsi="Arial" w:cs="Arial"/>
                <w:color w:val="000000"/>
                <w:sz w:val="22"/>
              </w:rPr>
              <w:t>’</w:t>
            </w:r>
          </w:p>
        </w:tc>
        <w:tc>
          <w:tcPr>
            <w:tcW w:w="23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78°33</w:t>
            </w:r>
            <w:r>
              <w:rPr>
                <w:rFonts w:ascii="Arial" w:hAnsi="Arial" w:cs="Arial"/>
                <w:color w:val="000000"/>
                <w:sz w:val="22"/>
              </w:rPr>
              <w:t>’</w:t>
            </w:r>
          </w:p>
        </w:tc>
      </w:tr>
      <w:tr w:rsidR="00AF014F" w:rsidRPr="00DC71BC" w:rsidTr="00AF014F">
        <w:trPr>
          <w:trHeight w:val="332"/>
        </w:trPr>
        <w:tc>
          <w:tcPr>
            <w:tcW w:w="766" w:type="dxa"/>
            <w:vAlign w:val="bottom"/>
          </w:tcPr>
          <w:p w:rsidR="00AF014F" w:rsidRPr="00C35DF7" w:rsidRDefault="00AF014F" w:rsidP="00AF014F">
            <w:pPr>
              <w:ind w:right="-133"/>
              <w:jc w:val="center"/>
              <w:rPr>
                <w:rFonts w:ascii="Arial" w:hAnsi="Arial" w:cs="Arial"/>
              </w:rPr>
            </w:pPr>
            <w:r w:rsidRPr="00C35DF7">
              <w:rPr>
                <w:rFonts w:ascii="Arial" w:hAnsi="Arial" w:cs="Arial"/>
                <w:sz w:val="22"/>
              </w:rPr>
              <w:t>5</w:t>
            </w:r>
          </w:p>
        </w:tc>
        <w:tc>
          <w:tcPr>
            <w:tcW w:w="1412"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34°45</w:t>
            </w:r>
            <w:r>
              <w:rPr>
                <w:rFonts w:ascii="Arial" w:hAnsi="Arial" w:cs="Arial"/>
                <w:color w:val="000000"/>
                <w:sz w:val="22"/>
              </w:rPr>
              <w:t>’</w:t>
            </w:r>
          </w:p>
        </w:tc>
        <w:tc>
          <w:tcPr>
            <w:tcW w:w="2253"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75°18</w:t>
            </w:r>
            <w:r>
              <w:rPr>
                <w:rFonts w:ascii="Arial" w:hAnsi="Arial" w:cs="Arial"/>
                <w:color w:val="000000"/>
                <w:sz w:val="22"/>
              </w:rPr>
              <w:t>’</w:t>
            </w:r>
          </w:p>
        </w:tc>
        <w:tc>
          <w:tcPr>
            <w:tcW w:w="987"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sz w:val="22"/>
              </w:rPr>
              <w:t>19</w:t>
            </w:r>
          </w:p>
        </w:tc>
        <w:tc>
          <w:tcPr>
            <w:tcW w:w="14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32°55</w:t>
            </w:r>
            <w:r>
              <w:rPr>
                <w:rFonts w:ascii="Arial" w:hAnsi="Arial" w:cs="Arial"/>
                <w:color w:val="000000"/>
                <w:sz w:val="22"/>
              </w:rPr>
              <w:t>’</w:t>
            </w:r>
          </w:p>
        </w:tc>
        <w:tc>
          <w:tcPr>
            <w:tcW w:w="23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78°39</w:t>
            </w:r>
            <w:r>
              <w:rPr>
                <w:rFonts w:ascii="Arial" w:hAnsi="Arial" w:cs="Arial"/>
                <w:color w:val="000000"/>
                <w:sz w:val="22"/>
              </w:rPr>
              <w:t>’</w:t>
            </w:r>
          </w:p>
        </w:tc>
      </w:tr>
      <w:tr w:rsidR="00AF014F" w:rsidRPr="00DC71BC" w:rsidTr="00AF014F">
        <w:trPr>
          <w:trHeight w:val="332"/>
        </w:trPr>
        <w:tc>
          <w:tcPr>
            <w:tcW w:w="766" w:type="dxa"/>
            <w:shd w:val="clear" w:color="auto" w:fill="F2F2F2" w:themeFill="background1" w:themeFillShade="F2"/>
            <w:vAlign w:val="bottom"/>
          </w:tcPr>
          <w:p w:rsidR="00AF014F" w:rsidRPr="00C35DF7" w:rsidRDefault="00AF014F" w:rsidP="00AF014F">
            <w:pPr>
              <w:ind w:right="-133"/>
              <w:jc w:val="center"/>
              <w:rPr>
                <w:rFonts w:ascii="Arial" w:hAnsi="Arial" w:cs="Arial"/>
              </w:rPr>
            </w:pPr>
            <w:r w:rsidRPr="00C35DF7">
              <w:rPr>
                <w:rFonts w:ascii="Arial" w:hAnsi="Arial" w:cs="Arial"/>
                <w:sz w:val="22"/>
              </w:rPr>
              <w:t>6</w:t>
            </w:r>
          </w:p>
        </w:tc>
        <w:tc>
          <w:tcPr>
            <w:tcW w:w="1412"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34°43</w:t>
            </w:r>
            <w:r>
              <w:rPr>
                <w:rFonts w:ascii="Arial" w:hAnsi="Arial" w:cs="Arial"/>
                <w:color w:val="000000"/>
                <w:sz w:val="22"/>
              </w:rPr>
              <w:t>’</w:t>
            </w:r>
          </w:p>
        </w:tc>
        <w:tc>
          <w:tcPr>
            <w:tcW w:w="2253"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75°33</w:t>
            </w:r>
            <w:r>
              <w:rPr>
                <w:rFonts w:ascii="Arial" w:hAnsi="Arial" w:cs="Arial"/>
                <w:color w:val="000000"/>
                <w:sz w:val="22"/>
              </w:rPr>
              <w:t>’</w:t>
            </w:r>
          </w:p>
        </w:tc>
        <w:tc>
          <w:tcPr>
            <w:tcW w:w="987"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sz w:val="22"/>
              </w:rPr>
              <w:t>20</w:t>
            </w:r>
          </w:p>
        </w:tc>
        <w:tc>
          <w:tcPr>
            <w:tcW w:w="14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32°39</w:t>
            </w:r>
            <w:r>
              <w:rPr>
                <w:rFonts w:ascii="Arial" w:hAnsi="Arial" w:cs="Arial"/>
                <w:color w:val="000000"/>
                <w:sz w:val="22"/>
              </w:rPr>
              <w:t>’</w:t>
            </w:r>
          </w:p>
        </w:tc>
        <w:tc>
          <w:tcPr>
            <w:tcW w:w="23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78°56</w:t>
            </w:r>
            <w:r>
              <w:rPr>
                <w:rFonts w:ascii="Arial" w:hAnsi="Arial" w:cs="Arial"/>
                <w:color w:val="000000"/>
                <w:sz w:val="22"/>
              </w:rPr>
              <w:t>’</w:t>
            </w:r>
          </w:p>
        </w:tc>
      </w:tr>
      <w:tr w:rsidR="00AF014F" w:rsidRPr="00DC71BC" w:rsidTr="00AF014F">
        <w:trPr>
          <w:trHeight w:val="332"/>
        </w:trPr>
        <w:tc>
          <w:tcPr>
            <w:tcW w:w="766" w:type="dxa"/>
            <w:vAlign w:val="bottom"/>
          </w:tcPr>
          <w:p w:rsidR="00AF014F" w:rsidRPr="00C35DF7" w:rsidRDefault="00AF014F" w:rsidP="00AF014F">
            <w:pPr>
              <w:ind w:right="-133"/>
              <w:jc w:val="center"/>
              <w:rPr>
                <w:rFonts w:ascii="Arial" w:hAnsi="Arial" w:cs="Arial"/>
              </w:rPr>
            </w:pPr>
            <w:r w:rsidRPr="00C35DF7">
              <w:rPr>
                <w:rFonts w:ascii="Arial" w:hAnsi="Arial" w:cs="Arial"/>
                <w:sz w:val="22"/>
              </w:rPr>
              <w:t>7</w:t>
            </w:r>
          </w:p>
        </w:tc>
        <w:tc>
          <w:tcPr>
            <w:tcW w:w="1412"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34°26</w:t>
            </w:r>
            <w:r>
              <w:rPr>
                <w:rFonts w:ascii="Arial" w:hAnsi="Arial" w:cs="Arial"/>
                <w:color w:val="000000"/>
                <w:sz w:val="22"/>
              </w:rPr>
              <w:t>’</w:t>
            </w:r>
          </w:p>
        </w:tc>
        <w:tc>
          <w:tcPr>
            <w:tcW w:w="2253"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75°57</w:t>
            </w:r>
            <w:r>
              <w:rPr>
                <w:rFonts w:ascii="Arial" w:hAnsi="Arial" w:cs="Arial"/>
                <w:color w:val="000000"/>
                <w:sz w:val="22"/>
              </w:rPr>
              <w:t>’</w:t>
            </w:r>
          </w:p>
        </w:tc>
        <w:tc>
          <w:tcPr>
            <w:tcW w:w="987"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sz w:val="22"/>
              </w:rPr>
              <w:t>21</w:t>
            </w:r>
          </w:p>
        </w:tc>
        <w:tc>
          <w:tcPr>
            <w:tcW w:w="14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31°42</w:t>
            </w:r>
            <w:r>
              <w:rPr>
                <w:rFonts w:ascii="Arial" w:hAnsi="Arial" w:cs="Arial"/>
                <w:color w:val="000000"/>
                <w:sz w:val="22"/>
              </w:rPr>
              <w:t>’</w:t>
            </w:r>
          </w:p>
        </w:tc>
        <w:tc>
          <w:tcPr>
            <w:tcW w:w="23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80°24</w:t>
            </w:r>
            <w:r>
              <w:rPr>
                <w:rFonts w:ascii="Arial" w:hAnsi="Arial" w:cs="Arial"/>
                <w:color w:val="000000"/>
                <w:sz w:val="22"/>
              </w:rPr>
              <w:t>’</w:t>
            </w:r>
          </w:p>
        </w:tc>
      </w:tr>
      <w:tr w:rsidR="00AF014F" w:rsidRPr="00DC71BC" w:rsidTr="00AF014F">
        <w:trPr>
          <w:trHeight w:val="332"/>
        </w:trPr>
        <w:tc>
          <w:tcPr>
            <w:tcW w:w="766" w:type="dxa"/>
            <w:shd w:val="clear" w:color="auto" w:fill="F2F2F2" w:themeFill="background1" w:themeFillShade="F2"/>
            <w:vAlign w:val="bottom"/>
          </w:tcPr>
          <w:p w:rsidR="00AF014F" w:rsidRPr="00C35DF7" w:rsidRDefault="00AF014F" w:rsidP="00AF014F">
            <w:pPr>
              <w:ind w:right="-133"/>
              <w:jc w:val="center"/>
              <w:rPr>
                <w:rFonts w:ascii="Arial" w:hAnsi="Arial" w:cs="Arial"/>
              </w:rPr>
            </w:pPr>
            <w:r w:rsidRPr="00C35DF7">
              <w:rPr>
                <w:rFonts w:ascii="Arial" w:hAnsi="Arial" w:cs="Arial"/>
                <w:sz w:val="22"/>
              </w:rPr>
              <w:t>8</w:t>
            </w:r>
          </w:p>
        </w:tc>
        <w:tc>
          <w:tcPr>
            <w:tcW w:w="1412"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34°12</w:t>
            </w:r>
            <w:r>
              <w:rPr>
                <w:rFonts w:ascii="Arial" w:hAnsi="Arial" w:cs="Arial"/>
                <w:color w:val="000000"/>
                <w:sz w:val="22"/>
              </w:rPr>
              <w:t>’</w:t>
            </w:r>
          </w:p>
        </w:tc>
        <w:tc>
          <w:tcPr>
            <w:tcW w:w="2253"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76°07</w:t>
            </w:r>
            <w:r>
              <w:rPr>
                <w:rFonts w:ascii="Arial" w:hAnsi="Arial" w:cs="Arial"/>
                <w:color w:val="000000"/>
                <w:sz w:val="22"/>
              </w:rPr>
              <w:t>’</w:t>
            </w:r>
          </w:p>
        </w:tc>
        <w:tc>
          <w:tcPr>
            <w:tcW w:w="987"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sz w:val="22"/>
              </w:rPr>
              <w:t>22</w:t>
            </w:r>
          </w:p>
        </w:tc>
        <w:tc>
          <w:tcPr>
            <w:tcW w:w="14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31°31</w:t>
            </w:r>
            <w:r>
              <w:rPr>
                <w:rFonts w:ascii="Arial" w:hAnsi="Arial" w:cs="Arial"/>
                <w:color w:val="000000"/>
                <w:sz w:val="22"/>
              </w:rPr>
              <w:t>’</w:t>
            </w:r>
          </w:p>
        </w:tc>
        <w:tc>
          <w:tcPr>
            <w:tcW w:w="23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80°33</w:t>
            </w:r>
            <w:r>
              <w:rPr>
                <w:rFonts w:ascii="Arial" w:hAnsi="Arial" w:cs="Arial"/>
                <w:color w:val="000000"/>
                <w:sz w:val="22"/>
              </w:rPr>
              <w:t>’</w:t>
            </w:r>
          </w:p>
        </w:tc>
      </w:tr>
      <w:tr w:rsidR="00AF014F" w:rsidRPr="00DC71BC" w:rsidTr="00AF014F">
        <w:trPr>
          <w:trHeight w:val="332"/>
        </w:trPr>
        <w:tc>
          <w:tcPr>
            <w:tcW w:w="766" w:type="dxa"/>
            <w:vAlign w:val="bottom"/>
          </w:tcPr>
          <w:p w:rsidR="00AF014F" w:rsidRPr="00C35DF7" w:rsidRDefault="00AF014F" w:rsidP="00AF014F">
            <w:pPr>
              <w:ind w:right="-133"/>
              <w:jc w:val="center"/>
              <w:rPr>
                <w:rFonts w:ascii="Arial" w:hAnsi="Arial" w:cs="Arial"/>
              </w:rPr>
            </w:pPr>
            <w:r w:rsidRPr="00C35DF7">
              <w:rPr>
                <w:rFonts w:ascii="Arial" w:hAnsi="Arial" w:cs="Arial"/>
                <w:sz w:val="22"/>
              </w:rPr>
              <w:t>9</w:t>
            </w:r>
          </w:p>
        </w:tc>
        <w:tc>
          <w:tcPr>
            <w:tcW w:w="1412"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34°04</w:t>
            </w:r>
            <w:r>
              <w:rPr>
                <w:rFonts w:ascii="Arial" w:hAnsi="Arial" w:cs="Arial"/>
                <w:color w:val="000000"/>
                <w:sz w:val="22"/>
              </w:rPr>
              <w:t>’</w:t>
            </w:r>
          </w:p>
        </w:tc>
        <w:tc>
          <w:tcPr>
            <w:tcW w:w="2253"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76°26</w:t>
            </w:r>
            <w:r>
              <w:rPr>
                <w:rFonts w:ascii="Arial" w:hAnsi="Arial" w:cs="Arial"/>
                <w:color w:val="000000"/>
                <w:sz w:val="22"/>
              </w:rPr>
              <w:t>’</w:t>
            </w:r>
          </w:p>
        </w:tc>
        <w:tc>
          <w:tcPr>
            <w:tcW w:w="987"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sz w:val="22"/>
              </w:rPr>
              <w:t>23</w:t>
            </w:r>
          </w:p>
        </w:tc>
        <w:tc>
          <w:tcPr>
            <w:tcW w:w="14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30°43</w:t>
            </w:r>
            <w:r>
              <w:rPr>
                <w:rFonts w:ascii="Arial" w:hAnsi="Arial" w:cs="Arial"/>
                <w:color w:val="000000"/>
                <w:sz w:val="22"/>
              </w:rPr>
              <w:t>’</w:t>
            </w:r>
          </w:p>
        </w:tc>
        <w:tc>
          <w:tcPr>
            <w:tcW w:w="23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80°49</w:t>
            </w:r>
            <w:r>
              <w:rPr>
                <w:rFonts w:ascii="Arial" w:hAnsi="Arial" w:cs="Arial"/>
                <w:color w:val="000000"/>
                <w:sz w:val="22"/>
              </w:rPr>
              <w:t>’</w:t>
            </w:r>
          </w:p>
        </w:tc>
      </w:tr>
      <w:tr w:rsidR="00AF014F" w:rsidRPr="00DC71BC" w:rsidTr="00AF014F">
        <w:trPr>
          <w:trHeight w:val="332"/>
        </w:trPr>
        <w:tc>
          <w:tcPr>
            <w:tcW w:w="766" w:type="dxa"/>
            <w:shd w:val="clear" w:color="auto" w:fill="F2F2F2" w:themeFill="background1" w:themeFillShade="F2"/>
            <w:vAlign w:val="bottom"/>
          </w:tcPr>
          <w:p w:rsidR="00AF014F" w:rsidRPr="00C35DF7" w:rsidRDefault="00AF014F" w:rsidP="00AF014F">
            <w:pPr>
              <w:ind w:right="-133"/>
              <w:jc w:val="center"/>
              <w:rPr>
                <w:rFonts w:ascii="Arial" w:hAnsi="Arial" w:cs="Arial"/>
              </w:rPr>
            </w:pPr>
            <w:r w:rsidRPr="00C35DF7">
              <w:rPr>
                <w:rFonts w:ascii="Arial" w:hAnsi="Arial" w:cs="Arial"/>
                <w:sz w:val="22"/>
              </w:rPr>
              <w:t>10</w:t>
            </w:r>
          </w:p>
        </w:tc>
        <w:tc>
          <w:tcPr>
            <w:tcW w:w="1412"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34°05</w:t>
            </w:r>
            <w:r>
              <w:rPr>
                <w:rFonts w:ascii="Arial" w:hAnsi="Arial" w:cs="Arial"/>
                <w:color w:val="000000"/>
                <w:sz w:val="22"/>
              </w:rPr>
              <w:t>’</w:t>
            </w:r>
          </w:p>
        </w:tc>
        <w:tc>
          <w:tcPr>
            <w:tcW w:w="2253"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76°41</w:t>
            </w:r>
            <w:r>
              <w:rPr>
                <w:rFonts w:ascii="Arial" w:hAnsi="Arial" w:cs="Arial"/>
                <w:color w:val="000000"/>
                <w:sz w:val="22"/>
              </w:rPr>
              <w:t>’</w:t>
            </w:r>
          </w:p>
        </w:tc>
        <w:tc>
          <w:tcPr>
            <w:tcW w:w="987"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sz w:val="22"/>
              </w:rPr>
              <w:t>24</w:t>
            </w:r>
          </w:p>
        </w:tc>
        <w:tc>
          <w:tcPr>
            <w:tcW w:w="14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30°30</w:t>
            </w:r>
            <w:r>
              <w:rPr>
                <w:rFonts w:ascii="Arial" w:hAnsi="Arial" w:cs="Arial"/>
                <w:color w:val="000000"/>
                <w:sz w:val="22"/>
              </w:rPr>
              <w:t>’</w:t>
            </w:r>
          </w:p>
        </w:tc>
        <w:tc>
          <w:tcPr>
            <w:tcW w:w="23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81°01</w:t>
            </w:r>
            <w:r>
              <w:rPr>
                <w:rFonts w:ascii="Arial" w:hAnsi="Arial" w:cs="Arial"/>
                <w:color w:val="000000"/>
                <w:sz w:val="22"/>
              </w:rPr>
              <w:t>’</w:t>
            </w:r>
          </w:p>
        </w:tc>
      </w:tr>
      <w:tr w:rsidR="00AF014F" w:rsidRPr="00DC71BC" w:rsidTr="00AF014F">
        <w:trPr>
          <w:trHeight w:val="332"/>
        </w:trPr>
        <w:tc>
          <w:tcPr>
            <w:tcW w:w="766" w:type="dxa"/>
            <w:vAlign w:val="bottom"/>
          </w:tcPr>
          <w:p w:rsidR="00AF014F" w:rsidRPr="00C35DF7" w:rsidRDefault="00AF014F" w:rsidP="00AF014F">
            <w:pPr>
              <w:ind w:right="-133"/>
              <w:jc w:val="center"/>
              <w:rPr>
                <w:rFonts w:ascii="Arial" w:hAnsi="Arial" w:cs="Arial"/>
              </w:rPr>
            </w:pPr>
            <w:r w:rsidRPr="00C35DF7">
              <w:rPr>
                <w:rFonts w:ascii="Arial" w:hAnsi="Arial" w:cs="Arial"/>
                <w:sz w:val="22"/>
              </w:rPr>
              <w:t>11</w:t>
            </w:r>
          </w:p>
        </w:tc>
        <w:tc>
          <w:tcPr>
            <w:tcW w:w="1412"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34°10</w:t>
            </w:r>
            <w:r>
              <w:rPr>
                <w:rFonts w:ascii="Arial" w:hAnsi="Arial" w:cs="Arial"/>
                <w:color w:val="000000"/>
                <w:sz w:val="22"/>
              </w:rPr>
              <w:t>’</w:t>
            </w:r>
          </w:p>
        </w:tc>
        <w:tc>
          <w:tcPr>
            <w:tcW w:w="2253"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76°55</w:t>
            </w:r>
            <w:r>
              <w:rPr>
                <w:rFonts w:ascii="Arial" w:hAnsi="Arial" w:cs="Arial"/>
                <w:color w:val="000000"/>
                <w:sz w:val="22"/>
              </w:rPr>
              <w:t>’</w:t>
            </w:r>
          </w:p>
        </w:tc>
        <w:tc>
          <w:tcPr>
            <w:tcW w:w="987"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sz w:val="22"/>
              </w:rPr>
              <w:t>25</w:t>
            </w:r>
          </w:p>
        </w:tc>
        <w:tc>
          <w:tcPr>
            <w:tcW w:w="14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29°45</w:t>
            </w:r>
            <w:r>
              <w:rPr>
                <w:rFonts w:ascii="Arial" w:hAnsi="Arial" w:cs="Arial"/>
                <w:color w:val="000000"/>
                <w:sz w:val="22"/>
              </w:rPr>
              <w:t>’</w:t>
            </w:r>
          </w:p>
        </w:tc>
        <w:tc>
          <w:tcPr>
            <w:tcW w:w="23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81°01</w:t>
            </w:r>
            <w:r>
              <w:rPr>
                <w:rFonts w:ascii="Arial" w:hAnsi="Arial" w:cs="Arial"/>
                <w:color w:val="000000"/>
                <w:sz w:val="22"/>
              </w:rPr>
              <w:t>’</w:t>
            </w:r>
          </w:p>
        </w:tc>
      </w:tr>
      <w:tr w:rsidR="00AF014F" w:rsidRPr="00DC71BC" w:rsidTr="00AF014F">
        <w:trPr>
          <w:trHeight w:val="332"/>
        </w:trPr>
        <w:tc>
          <w:tcPr>
            <w:tcW w:w="766" w:type="dxa"/>
            <w:shd w:val="clear" w:color="auto" w:fill="F2F2F2" w:themeFill="background1" w:themeFillShade="F2"/>
            <w:vAlign w:val="bottom"/>
          </w:tcPr>
          <w:p w:rsidR="00AF014F" w:rsidRPr="00C35DF7" w:rsidRDefault="00AF014F" w:rsidP="00AF014F">
            <w:pPr>
              <w:ind w:right="-133"/>
              <w:jc w:val="center"/>
              <w:rPr>
                <w:rFonts w:ascii="Arial" w:hAnsi="Arial" w:cs="Arial"/>
              </w:rPr>
            </w:pPr>
            <w:r w:rsidRPr="00C35DF7">
              <w:rPr>
                <w:rFonts w:ascii="Arial" w:hAnsi="Arial" w:cs="Arial"/>
                <w:sz w:val="22"/>
              </w:rPr>
              <w:t>12</w:t>
            </w:r>
          </w:p>
        </w:tc>
        <w:tc>
          <w:tcPr>
            <w:tcW w:w="1412"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33°58</w:t>
            </w:r>
            <w:r>
              <w:rPr>
                <w:rFonts w:ascii="Arial" w:hAnsi="Arial" w:cs="Arial"/>
                <w:color w:val="000000"/>
                <w:sz w:val="22"/>
              </w:rPr>
              <w:t>’</w:t>
            </w:r>
          </w:p>
        </w:tc>
        <w:tc>
          <w:tcPr>
            <w:tcW w:w="2253"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77°16</w:t>
            </w:r>
            <w:r>
              <w:rPr>
                <w:rFonts w:ascii="Arial" w:hAnsi="Arial" w:cs="Arial"/>
                <w:color w:val="000000"/>
                <w:sz w:val="22"/>
              </w:rPr>
              <w:t>’</w:t>
            </w:r>
          </w:p>
        </w:tc>
        <w:tc>
          <w:tcPr>
            <w:tcW w:w="987"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sz w:val="22"/>
              </w:rPr>
              <w:t>26</w:t>
            </w:r>
          </w:p>
        </w:tc>
        <w:tc>
          <w:tcPr>
            <w:tcW w:w="14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29°31</w:t>
            </w:r>
            <w:r>
              <w:rPr>
                <w:rFonts w:ascii="Arial" w:hAnsi="Arial" w:cs="Arial"/>
                <w:color w:val="000000"/>
                <w:sz w:val="22"/>
              </w:rPr>
              <w:t>’</w:t>
            </w:r>
          </w:p>
        </w:tc>
        <w:tc>
          <w:tcPr>
            <w:tcW w:w="23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80°58</w:t>
            </w:r>
            <w:r>
              <w:rPr>
                <w:rFonts w:ascii="Arial" w:hAnsi="Arial" w:cs="Arial"/>
                <w:color w:val="000000"/>
                <w:sz w:val="22"/>
              </w:rPr>
              <w:t>’</w:t>
            </w:r>
          </w:p>
        </w:tc>
      </w:tr>
      <w:tr w:rsidR="00AF014F" w:rsidRPr="00DC71BC" w:rsidTr="00AF014F">
        <w:trPr>
          <w:trHeight w:val="332"/>
        </w:trPr>
        <w:tc>
          <w:tcPr>
            <w:tcW w:w="766" w:type="dxa"/>
            <w:vAlign w:val="bottom"/>
          </w:tcPr>
          <w:p w:rsidR="00AF014F" w:rsidRPr="00C35DF7" w:rsidRDefault="00AF014F" w:rsidP="00AF014F">
            <w:pPr>
              <w:ind w:right="-133"/>
              <w:jc w:val="center"/>
              <w:rPr>
                <w:rFonts w:ascii="Arial" w:hAnsi="Arial" w:cs="Arial"/>
              </w:rPr>
            </w:pPr>
            <w:r w:rsidRPr="00C35DF7">
              <w:rPr>
                <w:rFonts w:ascii="Arial" w:hAnsi="Arial" w:cs="Arial"/>
                <w:sz w:val="22"/>
              </w:rPr>
              <w:t>13</w:t>
            </w:r>
          </w:p>
        </w:tc>
        <w:tc>
          <w:tcPr>
            <w:tcW w:w="1412" w:type="dxa"/>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33°41</w:t>
            </w:r>
            <w:r>
              <w:rPr>
                <w:rFonts w:ascii="Arial" w:hAnsi="Arial" w:cs="Arial"/>
                <w:color w:val="000000"/>
                <w:sz w:val="22"/>
              </w:rPr>
              <w:t>’</w:t>
            </w:r>
          </w:p>
        </w:tc>
        <w:tc>
          <w:tcPr>
            <w:tcW w:w="2253"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77°23</w:t>
            </w:r>
            <w:r>
              <w:rPr>
                <w:rFonts w:ascii="Arial" w:hAnsi="Arial" w:cs="Arial"/>
                <w:color w:val="000000"/>
                <w:sz w:val="22"/>
              </w:rPr>
              <w:t>’</w:t>
            </w:r>
          </w:p>
        </w:tc>
        <w:tc>
          <w:tcPr>
            <w:tcW w:w="987"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sz w:val="22"/>
              </w:rPr>
              <w:t>27</w:t>
            </w:r>
          </w:p>
        </w:tc>
        <w:tc>
          <w:tcPr>
            <w:tcW w:w="14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29°13</w:t>
            </w:r>
            <w:r>
              <w:rPr>
                <w:rFonts w:ascii="Arial" w:hAnsi="Arial" w:cs="Arial"/>
                <w:color w:val="000000"/>
                <w:sz w:val="22"/>
              </w:rPr>
              <w:t>’</w:t>
            </w:r>
          </w:p>
        </w:tc>
        <w:tc>
          <w:tcPr>
            <w:tcW w:w="2340" w:type="dxa"/>
            <w:tcBorders>
              <w:right w:val="single" w:sz="4" w:space="0" w:color="000000"/>
            </w:tcBorders>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80°52</w:t>
            </w:r>
            <w:r>
              <w:rPr>
                <w:rFonts w:ascii="Arial" w:hAnsi="Arial" w:cs="Arial"/>
                <w:color w:val="000000"/>
                <w:sz w:val="22"/>
              </w:rPr>
              <w:t>’</w:t>
            </w:r>
          </w:p>
        </w:tc>
      </w:tr>
      <w:tr w:rsidR="00AF014F" w:rsidRPr="00DC71BC" w:rsidTr="00AF014F">
        <w:trPr>
          <w:trHeight w:val="332"/>
        </w:trPr>
        <w:tc>
          <w:tcPr>
            <w:tcW w:w="766" w:type="dxa"/>
            <w:shd w:val="clear" w:color="auto" w:fill="F2F2F2" w:themeFill="background1" w:themeFillShade="F2"/>
            <w:vAlign w:val="bottom"/>
          </w:tcPr>
          <w:p w:rsidR="00AF014F" w:rsidRPr="00C35DF7" w:rsidRDefault="00AF014F" w:rsidP="00AF014F">
            <w:pPr>
              <w:ind w:right="-133"/>
              <w:jc w:val="center"/>
              <w:rPr>
                <w:rFonts w:ascii="Arial" w:hAnsi="Arial" w:cs="Arial"/>
              </w:rPr>
            </w:pPr>
            <w:r w:rsidRPr="00C35DF7">
              <w:rPr>
                <w:rFonts w:ascii="Arial" w:hAnsi="Arial" w:cs="Arial"/>
                <w:sz w:val="22"/>
              </w:rPr>
              <w:t>14</w:t>
            </w:r>
          </w:p>
        </w:tc>
        <w:tc>
          <w:tcPr>
            <w:tcW w:w="1412" w:type="dxa"/>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33°28</w:t>
            </w:r>
            <w:r>
              <w:rPr>
                <w:rFonts w:ascii="Arial" w:hAnsi="Arial" w:cs="Arial"/>
                <w:color w:val="000000"/>
                <w:sz w:val="22"/>
              </w:rPr>
              <w:t>’</w:t>
            </w:r>
          </w:p>
        </w:tc>
        <w:tc>
          <w:tcPr>
            <w:tcW w:w="2253"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77°32</w:t>
            </w:r>
            <w:r>
              <w:rPr>
                <w:rFonts w:ascii="Arial" w:hAnsi="Arial" w:cs="Arial"/>
                <w:color w:val="000000"/>
                <w:sz w:val="22"/>
              </w:rPr>
              <w:t>’</w:t>
            </w:r>
          </w:p>
        </w:tc>
        <w:tc>
          <w:tcPr>
            <w:tcW w:w="987"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sz w:val="22"/>
              </w:rPr>
              <w:t>28</w:t>
            </w:r>
          </w:p>
        </w:tc>
        <w:tc>
          <w:tcPr>
            <w:tcW w:w="14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29°13</w:t>
            </w:r>
            <w:r>
              <w:rPr>
                <w:rFonts w:ascii="Arial" w:hAnsi="Arial" w:cs="Arial"/>
                <w:color w:val="000000"/>
                <w:sz w:val="22"/>
              </w:rPr>
              <w:t>’</w:t>
            </w:r>
          </w:p>
        </w:tc>
        <w:tc>
          <w:tcPr>
            <w:tcW w:w="234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color w:val="000000"/>
              </w:rPr>
            </w:pPr>
            <w:r w:rsidRPr="00C35DF7">
              <w:rPr>
                <w:rFonts w:ascii="Arial" w:hAnsi="Arial" w:cs="Arial"/>
                <w:color w:val="000000"/>
                <w:sz w:val="22"/>
              </w:rPr>
              <w:t>State/EEZ boundary</w:t>
            </w:r>
          </w:p>
        </w:tc>
      </w:tr>
    </w:tbl>
    <w:p w:rsidR="00AF014F" w:rsidRPr="00E34FB0" w:rsidRDefault="00AF014F" w:rsidP="00AF014F">
      <w:pPr>
        <w:rPr>
          <w:sz w:val="20"/>
          <w:szCs w:val="20"/>
        </w:rPr>
      </w:pPr>
      <w:r w:rsidRPr="00E34FB0">
        <w:rPr>
          <w:iCs/>
          <w:sz w:val="20"/>
          <w:szCs w:val="20"/>
        </w:rPr>
        <w:t>Source: Amanda Frick, NMFS SERO</w:t>
      </w:r>
    </w:p>
    <w:p w:rsidR="00AF014F" w:rsidRPr="0020391D" w:rsidRDefault="00AF014F" w:rsidP="00AF014F"/>
    <w:p w:rsidR="00AF014F" w:rsidRPr="00295CBA" w:rsidRDefault="00AF014F" w:rsidP="00AF014F"/>
    <w:p w:rsidR="00AF014F" w:rsidRDefault="00AF014F" w:rsidP="00AF014F">
      <w:pPr>
        <w:jc w:val="center"/>
      </w:pPr>
      <w:r>
        <w:rPr>
          <w:noProof/>
        </w:rPr>
        <w:lastRenderedPageBreak/>
        <w:drawing>
          <wp:inline distT="0" distB="0" distL="0" distR="0">
            <wp:extent cx="5943600" cy="73653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5new.png"/>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7365365"/>
                    </a:xfrm>
                    <a:prstGeom prst="rect">
                      <a:avLst/>
                    </a:prstGeom>
                  </pic:spPr>
                </pic:pic>
              </a:graphicData>
            </a:graphic>
          </wp:inline>
        </w:drawing>
      </w:r>
    </w:p>
    <w:p w:rsidR="00AF014F" w:rsidRPr="00E34FB0" w:rsidRDefault="00AF014F" w:rsidP="00AF014F">
      <w:pPr>
        <w:pStyle w:val="Figuretitle"/>
        <w:rPr>
          <w:rFonts w:ascii="Arial" w:hAnsi="Arial" w:cs="Arial"/>
          <w:sz w:val="20"/>
          <w:szCs w:val="20"/>
        </w:rPr>
      </w:pPr>
      <w:bookmarkStart w:id="6" w:name="_Toc302115349"/>
      <w:proofErr w:type="gramStart"/>
      <w:r w:rsidRPr="00E34FB0">
        <w:rPr>
          <w:rFonts w:ascii="Arial" w:hAnsi="Arial" w:cs="Arial"/>
          <w:b/>
          <w:sz w:val="20"/>
          <w:szCs w:val="20"/>
        </w:rPr>
        <w:t>Figure 2.1.4.</w:t>
      </w:r>
      <w:proofErr w:type="gramEnd"/>
      <w:r w:rsidRPr="00E34FB0">
        <w:rPr>
          <w:rFonts w:ascii="Arial" w:hAnsi="Arial" w:cs="Arial"/>
          <w:sz w:val="20"/>
          <w:szCs w:val="20"/>
        </w:rPr>
        <w:t xml:space="preserve">  </w:t>
      </w:r>
      <w:proofErr w:type="gramStart"/>
      <w:r w:rsidRPr="00E34FB0">
        <w:rPr>
          <w:rFonts w:ascii="Arial" w:hAnsi="Arial" w:cs="Arial"/>
          <w:sz w:val="20"/>
          <w:szCs w:val="20"/>
        </w:rPr>
        <w:t>Area for the proposed black sea bass pot closure</w:t>
      </w:r>
      <w:r w:rsidR="000242E5" w:rsidRPr="00E34FB0">
        <w:rPr>
          <w:rFonts w:ascii="Arial" w:hAnsi="Arial" w:cs="Arial"/>
          <w:sz w:val="20"/>
          <w:szCs w:val="20"/>
        </w:rPr>
        <w:fldChar w:fldCharType="begin"/>
      </w:r>
      <w:r w:rsidRPr="00E34FB0">
        <w:rPr>
          <w:rFonts w:ascii="Arial" w:hAnsi="Arial" w:cs="Arial"/>
          <w:sz w:val="20"/>
          <w:szCs w:val="20"/>
        </w:rPr>
        <w:instrText xml:space="preserve"> XE "</w:instrText>
      </w:r>
      <w:r w:rsidRPr="00E34FB0">
        <w:rPr>
          <w:rStyle w:val="FiguretitleChar1"/>
          <w:rFonts w:ascii="Arial" w:eastAsiaTheme="minorHAnsi" w:hAnsi="Arial" w:cs="Arial"/>
          <w:sz w:val="20"/>
          <w:szCs w:val="20"/>
        </w:rPr>
        <w:instrText>black sea bass pot closure</w:instrText>
      </w:r>
      <w:r w:rsidRPr="00E34FB0">
        <w:rPr>
          <w:rFonts w:ascii="Arial" w:hAnsi="Arial" w:cs="Arial"/>
          <w:sz w:val="20"/>
          <w:szCs w:val="20"/>
        </w:rPr>
        <w:instrText xml:space="preserve">" </w:instrText>
      </w:r>
      <w:r w:rsidR="000242E5" w:rsidRPr="00E34FB0">
        <w:rPr>
          <w:rFonts w:ascii="Arial" w:hAnsi="Arial" w:cs="Arial"/>
          <w:sz w:val="20"/>
          <w:szCs w:val="20"/>
        </w:rPr>
        <w:fldChar w:fldCharType="end"/>
      </w:r>
      <w:r w:rsidRPr="00E34FB0">
        <w:rPr>
          <w:rFonts w:ascii="Arial" w:hAnsi="Arial" w:cs="Arial"/>
          <w:sz w:val="20"/>
          <w:szCs w:val="20"/>
        </w:rPr>
        <w:t xml:space="preserve"> in </w:t>
      </w:r>
      <w:r w:rsidRPr="00E34FB0">
        <w:rPr>
          <w:rFonts w:ascii="Arial" w:hAnsi="Arial" w:cs="Arial"/>
          <w:b/>
          <w:sz w:val="20"/>
          <w:szCs w:val="20"/>
        </w:rPr>
        <w:t>Alternative 5</w:t>
      </w:r>
      <w:r w:rsidRPr="00E34FB0">
        <w:rPr>
          <w:rFonts w:ascii="Arial" w:hAnsi="Arial" w:cs="Arial"/>
          <w:sz w:val="20"/>
          <w:szCs w:val="20"/>
        </w:rPr>
        <w:t>.</w:t>
      </w:r>
      <w:bookmarkEnd w:id="6"/>
      <w:proofErr w:type="gramEnd"/>
    </w:p>
    <w:p w:rsidR="00AF014F" w:rsidRPr="00E34FB0" w:rsidRDefault="00AF014F" w:rsidP="00AF014F">
      <w:pPr>
        <w:rPr>
          <w:sz w:val="20"/>
          <w:szCs w:val="20"/>
        </w:rPr>
      </w:pPr>
      <w:r w:rsidRPr="00E34FB0">
        <w:rPr>
          <w:iCs/>
          <w:sz w:val="20"/>
          <w:szCs w:val="20"/>
        </w:rPr>
        <w:t>Source: Amanda Frick, NMFS SERO</w:t>
      </w:r>
    </w:p>
    <w:p w:rsidR="00AF014F" w:rsidRDefault="00AF014F" w:rsidP="00AF014F">
      <w:pPr>
        <w:rPr>
          <w:b/>
        </w:rPr>
      </w:pPr>
    </w:p>
    <w:p w:rsidR="00AF014F" w:rsidRPr="00DC71BC" w:rsidRDefault="00AF014F" w:rsidP="00AF014F">
      <w:pPr>
        <w:rPr>
          <w:b/>
        </w:rPr>
      </w:pPr>
      <w:proofErr w:type="gramStart"/>
      <w:r w:rsidRPr="00DC71BC">
        <w:rPr>
          <w:b/>
        </w:rPr>
        <w:lastRenderedPageBreak/>
        <w:t xml:space="preserve">Alternative </w:t>
      </w:r>
      <w:r>
        <w:rPr>
          <w:b/>
        </w:rPr>
        <w:t>6</w:t>
      </w:r>
      <w:r w:rsidRPr="00DC71BC">
        <w:rPr>
          <w:b/>
        </w:rPr>
        <w:t>.</w:t>
      </w:r>
      <w:proofErr w:type="gramEnd"/>
      <w:r w:rsidRPr="00DC71BC">
        <w:rPr>
          <w:b/>
        </w:rPr>
        <w:t xml:space="preserve">  </w:t>
      </w:r>
      <w:r w:rsidRPr="00DC71BC">
        <w:rPr>
          <w:iCs/>
        </w:rPr>
        <w:t>The black sea bass pot closure</w:t>
      </w:r>
      <w:r w:rsidR="000242E5">
        <w:rPr>
          <w:iCs/>
        </w:rPr>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rPr>
          <w:iCs/>
        </w:rPr>
        <w:fldChar w:fldCharType="end"/>
      </w:r>
      <w:r w:rsidRPr="00DC71BC">
        <w:rPr>
          <w:iCs/>
        </w:rPr>
        <w:t xml:space="preserve"> applies to waters inshore of points 1-20 listed below </w:t>
      </w:r>
      <w:r w:rsidRPr="00DC71BC">
        <w:rPr>
          <w:b/>
          <w:iCs/>
        </w:rPr>
        <w:t>(Table 2.1.4)</w:t>
      </w:r>
      <w:r>
        <w:rPr>
          <w:iCs/>
        </w:rPr>
        <w:t>;</w:t>
      </w:r>
      <w:r w:rsidRPr="00DC71BC">
        <w:rPr>
          <w:iCs/>
        </w:rPr>
        <w:t xml:space="preserve"> approximately Sebastian, Florida, to Cape Hatteras, North Carolina</w:t>
      </w:r>
      <w:r w:rsidR="00290EED">
        <w:rPr>
          <w:iCs/>
        </w:rPr>
        <w:t xml:space="preserve"> </w:t>
      </w:r>
      <w:r w:rsidR="00290EED">
        <w:rPr>
          <w:b/>
          <w:iCs/>
        </w:rPr>
        <w:t>(Figure 2.1.5</w:t>
      </w:r>
      <w:r w:rsidR="00290EED" w:rsidRPr="00DC71BC">
        <w:rPr>
          <w:b/>
          <w:iCs/>
        </w:rPr>
        <w:t>)</w:t>
      </w:r>
      <w:r w:rsidRPr="00DC71BC">
        <w:rPr>
          <w:iCs/>
        </w:rPr>
        <w:t>.  The closure applies to the area annually from November 1 through April 30.</w:t>
      </w:r>
    </w:p>
    <w:p w:rsidR="00AF014F" w:rsidRDefault="00AF014F" w:rsidP="00AF014F">
      <w:pPr>
        <w:rPr>
          <w:b/>
          <w:iCs/>
        </w:rPr>
      </w:pPr>
    </w:p>
    <w:p w:rsidR="00AF014F" w:rsidRDefault="00AF014F" w:rsidP="00AF014F">
      <w:r w:rsidRPr="00DC71BC">
        <w:t xml:space="preserve">This area is also based on joint comments received from a number of environmental groups (dated January 3, 2014) in response to NMFS’ December 4, 2013, </w:t>
      </w:r>
      <w:r w:rsidRPr="00DC71BC">
        <w:rPr>
          <w:i/>
        </w:rPr>
        <w:t>Federal Register</w:t>
      </w:r>
      <w:r w:rsidRPr="00DC71BC">
        <w:t xml:space="preserve"> Notice of Intent to </w:t>
      </w:r>
      <w:proofErr w:type="gramStart"/>
      <w:r w:rsidRPr="00DC71BC">
        <w:t>Prepare</w:t>
      </w:r>
      <w:proofErr w:type="gramEnd"/>
      <w:r w:rsidRPr="00DC71BC">
        <w:t xml:space="preserve"> this DEIS (78 FR 72868).  The environmental groups proposed the area as a reasonable alternative for consideration.  </w:t>
      </w:r>
      <w:r w:rsidRPr="00D073BA">
        <w:rPr>
          <w:rStyle w:val="Heading3Char"/>
          <w:rFonts w:ascii="Times New Roman" w:eastAsiaTheme="minorHAnsi" w:hAnsi="Times New Roman" w:cs="Times New Roman"/>
          <w:b w:val="0"/>
          <w:szCs w:val="24"/>
        </w:rPr>
        <w:t>This</w:t>
      </w:r>
      <w:r w:rsidRPr="00DC71BC">
        <w:t xml:space="preserve"> area represents an existing management area, the Southeast Seasonal Gillnet Restricted Area, under the Atlantic Large Whale Take Reduction Plan</w:t>
      </w:r>
      <w:r w:rsidR="000242E5">
        <w:fldChar w:fldCharType="begin"/>
      </w:r>
      <w:r>
        <w:instrText xml:space="preserve"> XE "</w:instrText>
      </w:r>
      <w:r w:rsidRPr="008D14BD">
        <w:instrText>Atlantic Large Whale Take Reduction Plan</w:instrText>
      </w:r>
      <w:r>
        <w:instrText xml:space="preserve">" </w:instrText>
      </w:r>
      <w:r w:rsidR="000242E5">
        <w:fldChar w:fldCharType="end"/>
      </w:r>
      <w:r w:rsidRPr="00DC71BC">
        <w:t>; and an additional area off North Carolina.  The area off North Carolina includes waters shallower than 30 meters and is northward of the designated ALWTRP Southeast Restricted Area.</w:t>
      </w:r>
      <w:r w:rsidRPr="0007415C">
        <w:t xml:space="preserve"> </w:t>
      </w:r>
    </w:p>
    <w:p w:rsidR="00AF014F" w:rsidRDefault="00AF014F" w:rsidP="00AF014F"/>
    <w:p w:rsidR="00AF014F" w:rsidRDefault="00AF014F" w:rsidP="00AF014F">
      <w:pPr>
        <w:rPr>
          <w:rStyle w:val="Heading3Char"/>
          <w:rFonts w:eastAsiaTheme="minorHAnsi" w:cs="Times New Roman"/>
          <w:b w:val="0"/>
          <w:szCs w:val="24"/>
        </w:rPr>
      </w:pPr>
      <w:r w:rsidRPr="00E87D40">
        <w:rPr>
          <w:iCs/>
        </w:rPr>
        <w:t>Note</w:t>
      </w:r>
      <w:r>
        <w:rPr>
          <w:iCs/>
        </w:rPr>
        <w:t>:</w:t>
      </w:r>
      <w:r w:rsidRPr="00E87D40">
        <w:rPr>
          <w:iCs/>
        </w:rPr>
        <w:t xml:space="preserve"> </w:t>
      </w:r>
      <w:r>
        <w:rPr>
          <w:iCs/>
        </w:rPr>
        <w:t>F</w:t>
      </w:r>
      <w:r w:rsidRPr="00E87D40">
        <w:rPr>
          <w:iCs/>
        </w:rPr>
        <w:t>ederal regulations</w:t>
      </w:r>
      <w:r>
        <w:rPr>
          <w:iCs/>
        </w:rPr>
        <w:t xml:space="preserve"> would</w:t>
      </w:r>
      <w:r w:rsidRPr="00E87D40">
        <w:rPr>
          <w:iCs/>
        </w:rPr>
        <w:t xml:space="preserve"> only </w:t>
      </w:r>
      <w:r>
        <w:rPr>
          <w:iCs/>
        </w:rPr>
        <w:t>apply to that portion of the area within</w:t>
      </w:r>
      <w:r w:rsidRPr="00E87D40">
        <w:rPr>
          <w:iCs/>
        </w:rPr>
        <w:t xml:space="preserve"> the South Atlantic EEZ</w:t>
      </w:r>
      <w:r w:rsidR="000242E5">
        <w:rPr>
          <w:iCs/>
        </w:rPr>
        <w:fldChar w:fldCharType="begin"/>
      </w:r>
      <w:r>
        <w:instrText xml:space="preserve"> XE "</w:instrText>
      </w:r>
      <w:r w:rsidRPr="000E2ACD">
        <w:instrText>South Atlantic EEZ</w:instrText>
      </w:r>
      <w:r>
        <w:instrText xml:space="preserve">" </w:instrText>
      </w:r>
      <w:r w:rsidR="000242E5">
        <w:rPr>
          <w:iCs/>
        </w:rPr>
        <w:fldChar w:fldCharType="end"/>
      </w:r>
      <w:r w:rsidRPr="00E87D40">
        <w:rPr>
          <w:iCs/>
        </w:rPr>
        <w:t xml:space="preserve">.  The states will be asked to </w:t>
      </w:r>
      <w:r>
        <w:rPr>
          <w:iCs/>
        </w:rPr>
        <w:t>implement compatible</w:t>
      </w:r>
      <w:r w:rsidRPr="00E87D40">
        <w:rPr>
          <w:iCs/>
        </w:rPr>
        <w:t xml:space="preserve"> regulations </w:t>
      </w:r>
      <w:r>
        <w:rPr>
          <w:iCs/>
        </w:rPr>
        <w:t>with</w:t>
      </w:r>
      <w:r w:rsidRPr="00E87D40">
        <w:rPr>
          <w:iCs/>
        </w:rPr>
        <w:t>in state waters.</w:t>
      </w:r>
    </w:p>
    <w:p w:rsidR="00AF014F" w:rsidRDefault="00AF014F" w:rsidP="00AF014F"/>
    <w:p w:rsidR="00AF014F" w:rsidRPr="005664A1" w:rsidRDefault="00AF014F" w:rsidP="00AF014F">
      <w:pPr>
        <w:pStyle w:val="Tabletitle"/>
        <w:rPr>
          <w:b w:val="0"/>
        </w:rPr>
      </w:pPr>
      <w:bookmarkStart w:id="7" w:name="_Toc302115473"/>
      <w:proofErr w:type="gramStart"/>
      <w:r w:rsidRPr="000B5BFC">
        <w:t>Table 2.1.4.</w:t>
      </w:r>
      <w:proofErr w:type="gramEnd"/>
      <w:r w:rsidRPr="000B5BFC">
        <w:t xml:space="preserve"> </w:t>
      </w:r>
      <w:r w:rsidRPr="005664A1">
        <w:rPr>
          <w:b w:val="0"/>
        </w:rPr>
        <w:t xml:space="preserve">Eastern </w:t>
      </w:r>
      <w:r>
        <w:rPr>
          <w:b w:val="0"/>
        </w:rPr>
        <w:t>boundary coordinates for the proposed black sea bass pot c</w:t>
      </w:r>
      <w:r w:rsidRPr="005664A1">
        <w:rPr>
          <w:b w:val="0"/>
        </w:rPr>
        <w:t>losure</w:t>
      </w:r>
      <w:r w:rsidR="000242E5">
        <w:rPr>
          <w:b w:val="0"/>
        </w:rPr>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rPr>
          <w:b w:val="0"/>
        </w:rPr>
        <w:fldChar w:fldCharType="end"/>
      </w:r>
      <w:r w:rsidRPr="005664A1">
        <w:rPr>
          <w:b w:val="0"/>
        </w:rPr>
        <w:t xml:space="preserve"> in </w:t>
      </w:r>
      <w:r w:rsidRPr="00194454">
        <w:t>Alternative 6</w:t>
      </w:r>
      <w:r w:rsidRPr="005664A1">
        <w:rPr>
          <w:b w:val="0"/>
        </w:rPr>
        <w:t>.</w:t>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542"/>
        <w:gridCol w:w="1137"/>
        <w:gridCol w:w="3150"/>
      </w:tblGrid>
      <w:tr w:rsidR="00AF014F" w:rsidRPr="00DC71BC" w:rsidTr="00AF014F">
        <w:trPr>
          <w:trHeight w:val="296"/>
        </w:trPr>
        <w:tc>
          <w:tcPr>
            <w:tcW w:w="0" w:type="auto"/>
            <w:shd w:val="clear" w:color="auto" w:fill="D9D9D9"/>
            <w:vAlign w:val="bottom"/>
          </w:tcPr>
          <w:p w:rsidR="00AF014F" w:rsidRPr="00C35DF7" w:rsidRDefault="00AF014F" w:rsidP="00AF014F">
            <w:pPr>
              <w:jc w:val="center"/>
              <w:rPr>
                <w:rFonts w:ascii="Arial" w:hAnsi="Arial" w:cs="Arial"/>
              </w:rPr>
            </w:pPr>
            <w:r w:rsidRPr="00C35DF7">
              <w:rPr>
                <w:rFonts w:ascii="Arial" w:hAnsi="Arial" w:cs="Arial"/>
                <w:b/>
                <w:sz w:val="22"/>
              </w:rPr>
              <w:t>Point</w:t>
            </w:r>
          </w:p>
        </w:tc>
        <w:tc>
          <w:tcPr>
            <w:tcW w:w="1679" w:type="dxa"/>
            <w:gridSpan w:val="2"/>
            <w:shd w:val="clear" w:color="auto" w:fill="D9D9D9"/>
            <w:vAlign w:val="bottom"/>
          </w:tcPr>
          <w:p w:rsidR="00AF014F" w:rsidRPr="00C35DF7" w:rsidRDefault="00AF014F" w:rsidP="00AF014F">
            <w:pPr>
              <w:jc w:val="center"/>
              <w:rPr>
                <w:rFonts w:ascii="Arial" w:hAnsi="Arial" w:cs="Arial"/>
              </w:rPr>
            </w:pPr>
            <w:r w:rsidRPr="00C35DF7">
              <w:rPr>
                <w:rFonts w:ascii="Arial" w:hAnsi="Arial" w:cs="Arial"/>
                <w:b/>
                <w:sz w:val="22"/>
              </w:rPr>
              <w:t>N Latitude</w:t>
            </w:r>
          </w:p>
        </w:tc>
        <w:tc>
          <w:tcPr>
            <w:tcW w:w="3150" w:type="dxa"/>
            <w:shd w:val="clear" w:color="auto" w:fill="D9D9D9"/>
            <w:vAlign w:val="bottom"/>
          </w:tcPr>
          <w:p w:rsidR="00AF014F" w:rsidRPr="00C35DF7" w:rsidRDefault="00AF014F" w:rsidP="00AF014F">
            <w:pPr>
              <w:jc w:val="center"/>
              <w:rPr>
                <w:rFonts w:ascii="Arial" w:hAnsi="Arial" w:cs="Arial"/>
              </w:rPr>
            </w:pPr>
            <w:r w:rsidRPr="00C35DF7">
              <w:rPr>
                <w:rFonts w:ascii="Arial" w:hAnsi="Arial" w:cs="Arial"/>
                <w:b/>
                <w:sz w:val="22"/>
              </w:rPr>
              <w:t>W Longitude</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35º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15</w:t>
            </w:r>
            <w:r>
              <w:rPr>
                <w:rFonts w:ascii="Arial" w:hAnsi="Arial" w:cs="Arial"/>
                <w:color w:val="000000"/>
                <w:sz w:val="22"/>
              </w:rPr>
              <w:t>’</w:t>
            </w:r>
          </w:p>
        </w:tc>
        <w:tc>
          <w:tcPr>
            <w:tcW w:w="3150" w:type="dxa"/>
            <w:vAlign w:val="bottom"/>
          </w:tcPr>
          <w:p w:rsidR="00AF014F" w:rsidRPr="00C35DF7" w:rsidRDefault="00AF014F" w:rsidP="00AF014F">
            <w:pPr>
              <w:jc w:val="center"/>
              <w:rPr>
                <w:rFonts w:ascii="Arial" w:hAnsi="Arial" w:cs="Arial"/>
              </w:rPr>
            </w:pPr>
            <w:r w:rsidRPr="00C35DF7">
              <w:rPr>
                <w:rFonts w:ascii="Arial" w:hAnsi="Arial" w:cs="Arial"/>
                <w:sz w:val="22"/>
              </w:rPr>
              <w:t>State/EEZ Boundary</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2</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35º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15</w:t>
            </w:r>
            <w:r>
              <w:rPr>
                <w:rFonts w:ascii="Arial" w:hAnsi="Arial" w:cs="Arial"/>
                <w:color w:val="000000"/>
                <w:sz w:val="22"/>
              </w:rPr>
              <w:t>’</w:t>
            </w:r>
          </w:p>
        </w:tc>
        <w:tc>
          <w:tcPr>
            <w:tcW w:w="315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75º</w:t>
            </w:r>
            <w:r>
              <w:rPr>
                <w:rFonts w:ascii="Arial" w:hAnsi="Arial" w:cs="Arial"/>
                <w:color w:val="000000"/>
                <w:sz w:val="22"/>
              </w:rPr>
              <w:t xml:space="preserve"> </w:t>
            </w:r>
            <w:r w:rsidRPr="00C35DF7">
              <w:rPr>
                <w:rFonts w:ascii="Arial" w:hAnsi="Arial" w:cs="Arial"/>
                <w:color w:val="000000"/>
                <w:sz w:val="22"/>
              </w:rPr>
              <w:t>08</w:t>
            </w:r>
            <w:r>
              <w:rPr>
                <w:rFonts w:ascii="Arial" w:hAnsi="Arial" w:cs="Arial"/>
                <w:color w:val="000000"/>
                <w:sz w:val="22"/>
              </w:rPr>
              <w:t>’</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3</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58</w:t>
            </w:r>
            <w:r>
              <w:rPr>
                <w:rFonts w:ascii="Arial" w:hAnsi="Arial" w:cs="Arial"/>
                <w:color w:val="000000"/>
                <w:sz w:val="22"/>
              </w:rPr>
              <w:t>’</w:t>
            </w:r>
          </w:p>
        </w:tc>
        <w:tc>
          <w:tcPr>
            <w:tcW w:w="315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75º</w:t>
            </w:r>
            <w:r>
              <w:rPr>
                <w:rFonts w:ascii="Arial" w:hAnsi="Arial" w:cs="Arial"/>
                <w:color w:val="000000"/>
                <w:sz w:val="22"/>
              </w:rPr>
              <w:t xml:space="preserve"> </w:t>
            </w:r>
            <w:r w:rsidRPr="00C35DF7">
              <w:rPr>
                <w:rFonts w:ascii="Arial" w:hAnsi="Arial" w:cs="Arial"/>
                <w:color w:val="000000"/>
                <w:sz w:val="22"/>
              </w:rPr>
              <w:t>41</w:t>
            </w:r>
            <w:r>
              <w:rPr>
                <w:rFonts w:ascii="Arial" w:hAnsi="Arial" w:cs="Arial"/>
                <w:color w:val="000000"/>
                <w:sz w:val="22"/>
              </w:rPr>
              <w:t>’</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4</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49</w:t>
            </w:r>
            <w:r>
              <w:rPr>
                <w:rFonts w:ascii="Arial" w:hAnsi="Arial" w:cs="Arial"/>
                <w:color w:val="000000"/>
                <w:sz w:val="22"/>
              </w:rPr>
              <w:t>’</w:t>
            </w:r>
          </w:p>
        </w:tc>
        <w:tc>
          <w:tcPr>
            <w:tcW w:w="315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75º</w:t>
            </w:r>
            <w:r>
              <w:rPr>
                <w:rFonts w:ascii="Arial" w:hAnsi="Arial" w:cs="Arial"/>
                <w:color w:val="000000"/>
                <w:sz w:val="22"/>
              </w:rPr>
              <w:t xml:space="preserve"> </w:t>
            </w:r>
            <w:r w:rsidRPr="00C35DF7">
              <w:rPr>
                <w:rFonts w:ascii="Arial" w:hAnsi="Arial" w:cs="Arial"/>
                <w:color w:val="000000"/>
                <w:sz w:val="22"/>
              </w:rPr>
              <w:t>50</w:t>
            </w:r>
            <w:r>
              <w:rPr>
                <w:rFonts w:ascii="Arial" w:hAnsi="Arial" w:cs="Arial"/>
                <w:color w:val="000000"/>
                <w:sz w:val="22"/>
              </w:rPr>
              <w:t>’</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5</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47</w:t>
            </w:r>
            <w:r>
              <w:rPr>
                <w:rFonts w:ascii="Arial" w:hAnsi="Arial" w:cs="Arial"/>
                <w:color w:val="000000"/>
                <w:sz w:val="22"/>
              </w:rPr>
              <w:t>’</w:t>
            </w:r>
          </w:p>
        </w:tc>
        <w:tc>
          <w:tcPr>
            <w:tcW w:w="315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76º</w:t>
            </w:r>
            <w:r>
              <w:rPr>
                <w:rFonts w:ascii="Arial" w:hAnsi="Arial" w:cs="Arial"/>
                <w:color w:val="000000"/>
                <w:sz w:val="22"/>
              </w:rPr>
              <w:t xml:space="preserve"> </w:t>
            </w:r>
            <w:r w:rsidRPr="00C35DF7">
              <w:rPr>
                <w:rFonts w:ascii="Arial" w:hAnsi="Arial" w:cs="Arial"/>
                <w:color w:val="000000"/>
                <w:sz w:val="22"/>
              </w:rPr>
              <w:t>05</w:t>
            </w:r>
            <w:r>
              <w:rPr>
                <w:rFonts w:ascii="Arial" w:hAnsi="Arial" w:cs="Arial"/>
                <w:color w:val="000000"/>
                <w:sz w:val="22"/>
              </w:rPr>
              <w:t>’</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6</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31</w:t>
            </w:r>
            <w:r>
              <w:rPr>
                <w:rFonts w:ascii="Arial" w:hAnsi="Arial" w:cs="Arial"/>
                <w:color w:val="000000"/>
                <w:sz w:val="22"/>
              </w:rPr>
              <w:t>’</w:t>
            </w:r>
          </w:p>
        </w:tc>
        <w:tc>
          <w:tcPr>
            <w:tcW w:w="315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76º</w:t>
            </w:r>
            <w:r>
              <w:rPr>
                <w:rFonts w:ascii="Arial" w:hAnsi="Arial" w:cs="Arial"/>
                <w:color w:val="000000"/>
                <w:sz w:val="22"/>
              </w:rPr>
              <w:t xml:space="preserve"> </w:t>
            </w:r>
            <w:r w:rsidRPr="00C35DF7">
              <w:rPr>
                <w:rFonts w:ascii="Arial" w:hAnsi="Arial" w:cs="Arial"/>
                <w:color w:val="000000"/>
                <w:sz w:val="22"/>
              </w:rPr>
              <w:t>18</w:t>
            </w:r>
            <w:r>
              <w:rPr>
                <w:rFonts w:ascii="Arial" w:hAnsi="Arial" w:cs="Arial"/>
                <w:color w:val="000000"/>
                <w:sz w:val="22"/>
              </w:rPr>
              <w:t>’</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7</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34º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20</w:t>
            </w:r>
            <w:r>
              <w:rPr>
                <w:rFonts w:ascii="Arial" w:hAnsi="Arial" w:cs="Arial"/>
                <w:color w:val="000000"/>
                <w:sz w:val="22"/>
              </w:rPr>
              <w:t>’</w:t>
            </w:r>
          </w:p>
        </w:tc>
        <w:tc>
          <w:tcPr>
            <w:tcW w:w="315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76º</w:t>
            </w:r>
            <w:r>
              <w:rPr>
                <w:rFonts w:ascii="Arial" w:hAnsi="Arial" w:cs="Arial"/>
                <w:color w:val="000000"/>
                <w:sz w:val="22"/>
              </w:rPr>
              <w:t xml:space="preserve"> </w:t>
            </w:r>
            <w:r w:rsidRPr="00C35DF7">
              <w:rPr>
                <w:rFonts w:ascii="Arial" w:hAnsi="Arial" w:cs="Arial"/>
                <w:color w:val="000000"/>
                <w:sz w:val="22"/>
              </w:rPr>
              <w:t>13</w:t>
            </w:r>
            <w:r>
              <w:rPr>
                <w:rFonts w:ascii="Arial" w:hAnsi="Arial" w:cs="Arial"/>
                <w:color w:val="000000"/>
                <w:sz w:val="22"/>
              </w:rPr>
              <w:t>’</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8</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34º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12</w:t>
            </w:r>
            <w:r>
              <w:rPr>
                <w:rFonts w:ascii="Arial" w:hAnsi="Arial" w:cs="Arial"/>
                <w:color w:val="000000"/>
                <w:sz w:val="22"/>
              </w:rPr>
              <w:t>’</w:t>
            </w:r>
          </w:p>
        </w:tc>
        <w:tc>
          <w:tcPr>
            <w:tcW w:w="315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77º</w:t>
            </w:r>
            <w:r>
              <w:rPr>
                <w:rFonts w:ascii="Arial" w:hAnsi="Arial" w:cs="Arial"/>
                <w:color w:val="000000"/>
                <w:sz w:val="22"/>
              </w:rPr>
              <w:t xml:space="preserve"> </w:t>
            </w:r>
            <w:r w:rsidRPr="00C35DF7">
              <w:rPr>
                <w:rFonts w:ascii="Arial" w:hAnsi="Arial" w:cs="Arial"/>
                <w:color w:val="000000"/>
                <w:sz w:val="22"/>
              </w:rPr>
              <w:t>00</w:t>
            </w:r>
            <w:r>
              <w:rPr>
                <w:rFonts w:ascii="Arial" w:hAnsi="Arial" w:cs="Arial"/>
                <w:color w:val="000000"/>
                <w:sz w:val="22"/>
              </w:rPr>
              <w:t>’</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9</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33º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43</w:t>
            </w:r>
            <w:r>
              <w:rPr>
                <w:rFonts w:ascii="Arial" w:hAnsi="Arial" w:cs="Arial"/>
                <w:color w:val="000000"/>
                <w:sz w:val="22"/>
              </w:rPr>
              <w:t>’</w:t>
            </w:r>
          </w:p>
        </w:tc>
        <w:tc>
          <w:tcPr>
            <w:tcW w:w="315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77º</w:t>
            </w:r>
            <w:r>
              <w:rPr>
                <w:rFonts w:ascii="Arial" w:hAnsi="Arial" w:cs="Arial"/>
                <w:color w:val="000000"/>
                <w:sz w:val="22"/>
              </w:rPr>
              <w:t xml:space="preserve"> </w:t>
            </w:r>
            <w:r w:rsidRPr="00C35DF7">
              <w:rPr>
                <w:rFonts w:ascii="Arial" w:hAnsi="Arial" w:cs="Arial"/>
                <w:color w:val="000000"/>
                <w:sz w:val="22"/>
              </w:rPr>
              <w:t>30</w:t>
            </w:r>
            <w:r>
              <w:rPr>
                <w:rFonts w:ascii="Arial" w:hAnsi="Arial" w:cs="Arial"/>
                <w:color w:val="000000"/>
                <w:sz w:val="22"/>
              </w:rPr>
              <w:t>’</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10</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33º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21</w:t>
            </w:r>
            <w:r>
              <w:rPr>
                <w:rFonts w:ascii="Arial" w:hAnsi="Arial" w:cs="Arial"/>
                <w:color w:val="000000"/>
                <w:sz w:val="22"/>
              </w:rPr>
              <w:t>’</w:t>
            </w:r>
          </w:p>
        </w:tc>
        <w:tc>
          <w:tcPr>
            <w:tcW w:w="315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77º</w:t>
            </w:r>
            <w:r>
              <w:rPr>
                <w:rFonts w:ascii="Arial" w:hAnsi="Arial" w:cs="Arial"/>
                <w:color w:val="000000"/>
                <w:sz w:val="22"/>
              </w:rPr>
              <w:t xml:space="preserve"> </w:t>
            </w:r>
            <w:r w:rsidRPr="00C35DF7">
              <w:rPr>
                <w:rFonts w:ascii="Arial" w:hAnsi="Arial" w:cs="Arial"/>
                <w:color w:val="000000"/>
                <w:sz w:val="22"/>
              </w:rPr>
              <w:t>21</w:t>
            </w:r>
            <w:r>
              <w:rPr>
                <w:rFonts w:ascii="Arial" w:hAnsi="Arial" w:cs="Arial"/>
                <w:color w:val="000000"/>
                <w:sz w:val="22"/>
              </w:rPr>
              <w:t>’</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11</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33º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18</w:t>
            </w:r>
            <w:r>
              <w:rPr>
                <w:rFonts w:ascii="Arial" w:hAnsi="Arial" w:cs="Arial"/>
                <w:color w:val="000000"/>
                <w:sz w:val="22"/>
              </w:rPr>
              <w:t>’</w:t>
            </w:r>
          </w:p>
        </w:tc>
        <w:tc>
          <w:tcPr>
            <w:tcW w:w="315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77º</w:t>
            </w:r>
            <w:r>
              <w:rPr>
                <w:rFonts w:ascii="Arial" w:hAnsi="Arial" w:cs="Arial"/>
                <w:color w:val="000000"/>
                <w:sz w:val="22"/>
              </w:rPr>
              <w:t xml:space="preserve"> </w:t>
            </w:r>
            <w:r w:rsidRPr="00C35DF7">
              <w:rPr>
                <w:rFonts w:ascii="Arial" w:hAnsi="Arial" w:cs="Arial"/>
                <w:color w:val="000000"/>
                <w:sz w:val="22"/>
              </w:rPr>
              <w:t>41</w:t>
            </w:r>
            <w:r>
              <w:rPr>
                <w:rFonts w:ascii="Arial" w:hAnsi="Arial" w:cs="Arial"/>
                <w:color w:val="000000"/>
                <w:sz w:val="22"/>
              </w:rPr>
              <w:t>’</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12</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33º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22</w:t>
            </w:r>
            <w:r>
              <w:rPr>
                <w:rFonts w:ascii="Arial" w:hAnsi="Arial" w:cs="Arial"/>
                <w:color w:val="000000"/>
                <w:sz w:val="22"/>
              </w:rPr>
              <w:t>’</w:t>
            </w:r>
          </w:p>
        </w:tc>
        <w:tc>
          <w:tcPr>
            <w:tcW w:w="315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77º</w:t>
            </w:r>
            <w:r>
              <w:rPr>
                <w:rFonts w:ascii="Arial" w:hAnsi="Arial" w:cs="Arial"/>
                <w:color w:val="000000"/>
                <w:sz w:val="22"/>
              </w:rPr>
              <w:t xml:space="preserve"> </w:t>
            </w:r>
            <w:r w:rsidRPr="00C35DF7">
              <w:rPr>
                <w:rFonts w:ascii="Arial" w:hAnsi="Arial" w:cs="Arial"/>
                <w:color w:val="000000"/>
                <w:sz w:val="22"/>
              </w:rPr>
              <w:t>56</w:t>
            </w:r>
            <w:r>
              <w:rPr>
                <w:rFonts w:ascii="Arial" w:hAnsi="Arial" w:cs="Arial"/>
                <w:color w:val="000000"/>
                <w:sz w:val="22"/>
              </w:rPr>
              <w:t>’</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13</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33º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19</w:t>
            </w:r>
            <w:r>
              <w:rPr>
                <w:rFonts w:ascii="Arial" w:hAnsi="Arial" w:cs="Arial"/>
                <w:color w:val="000000"/>
                <w:sz w:val="22"/>
              </w:rPr>
              <w:t>’</w:t>
            </w:r>
          </w:p>
        </w:tc>
        <w:tc>
          <w:tcPr>
            <w:tcW w:w="315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78º</w:t>
            </w:r>
            <w:r>
              <w:rPr>
                <w:rFonts w:ascii="Arial" w:hAnsi="Arial" w:cs="Arial"/>
                <w:color w:val="000000"/>
                <w:sz w:val="22"/>
              </w:rPr>
              <w:t xml:space="preserve"> </w:t>
            </w:r>
            <w:r w:rsidRPr="00C35DF7">
              <w:rPr>
                <w:rFonts w:ascii="Arial" w:hAnsi="Arial" w:cs="Arial"/>
                <w:color w:val="000000"/>
                <w:sz w:val="22"/>
              </w:rPr>
              <w:t>06</w:t>
            </w:r>
            <w:r>
              <w:rPr>
                <w:rFonts w:ascii="Arial" w:hAnsi="Arial" w:cs="Arial"/>
                <w:color w:val="000000"/>
                <w:sz w:val="22"/>
              </w:rPr>
              <w:t>’</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14</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32º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58</w:t>
            </w:r>
            <w:r>
              <w:rPr>
                <w:rFonts w:ascii="Arial" w:hAnsi="Arial" w:cs="Arial"/>
                <w:color w:val="000000"/>
                <w:sz w:val="22"/>
              </w:rPr>
              <w:t>’</w:t>
            </w:r>
          </w:p>
        </w:tc>
        <w:tc>
          <w:tcPr>
            <w:tcW w:w="315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78º</w:t>
            </w:r>
            <w:r>
              <w:rPr>
                <w:rFonts w:ascii="Arial" w:hAnsi="Arial" w:cs="Arial"/>
                <w:color w:val="000000"/>
                <w:sz w:val="22"/>
              </w:rPr>
              <w:t xml:space="preserve"> </w:t>
            </w:r>
            <w:r w:rsidRPr="00C35DF7">
              <w:rPr>
                <w:rFonts w:ascii="Arial" w:hAnsi="Arial" w:cs="Arial"/>
                <w:color w:val="000000"/>
                <w:sz w:val="22"/>
              </w:rPr>
              <w:t>39</w:t>
            </w:r>
            <w:r>
              <w:rPr>
                <w:rFonts w:ascii="Arial" w:hAnsi="Arial" w:cs="Arial"/>
                <w:color w:val="000000"/>
                <w:sz w:val="22"/>
              </w:rPr>
              <w:t>’</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15</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32º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39</w:t>
            </w:r>
            <w:r>
              <w:rPr>
                <w:rFonts w:ascii="Arial" w:hAnsi="Arial" w:cs="Arial"/>
                <w:color w:val="000000"/>
                <w:sz w:val="22"/>
              </w:rPr>
              <w:t>’</w:t>
            </w:r>
          </w:p>
        </w:tc>
        <w:tc>
          <w:tcPr>
            <w:tcW w:w="315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78º</w:t>
            </w:r>
            <w:r>
              <w:rPr>
                <w:rFonts w:ascii="Arial" w:hAnsi="Arial" w:cs="Arial"/>
                <w:color w:val="000000"/>
                <w:sz w:val="22"/>
              </w:rPr>
              <w:t xml:space="preserve"> </w:t>
            </w:r>
            <w:r w:rsidRPr="00C35DF7">
              <w:rPr>
                <w:rFonts w:ascii="Arial" w:hAnsi="Arial" w:cs="Arial"/>
                <w:color w:val="000000"/>
                <w:sz w:val="22"/>
              </w:rPr>
              <w:t>59</w:t>
            </w:r>
            <w:r>
              <w:rPr>
                <w:rFonts w:ascii="Arial" w:hAnsi="Arial" w:cs="Arial"/>
                <w:color w:val="000000"/>
                <w:sz w:val="22"/>
              </w:rPr>
              <w:t>’</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16</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32º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37</w:t>
            </w:r>
            <w:r>
              <w:rPr>
                <w:rFonts w:ascii="Arial" w:hAnsi="Arial" w:cs="Arial"/>
                <w:color w:val="000000"/>
                <w:sz w:val="22"/>
              </w:rPr>
              <w:t>’</w:t>
            </w:r>
          </w:p>
        </w:tc>
        <w:tc>
          <w:tcPr>
            <w:tcW w:w="315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79º</w:t>
            </w:r>
            <w:r>
              <w:rPr>
                <w:rFonts w:ascii="Arial" w:hAnsi="Arial" w:cs="Arial"/>
                <w:color w:val="000000"/>
                <w:sz w:val="22"/>
              </w:rPr>
              <w:t xml:space="preserve"> </w:t>
            </w:r>
            <w:r w:rsidRPr="00C35DF7">
              <w:rPr>
                <w:rFonts w:ascii="Arial" w:hAnsi="Arial" w:cs="Arial"/>
                <w:color w:val="000000"/>
                <w:sz w:val="22"/>
              </w:rPr>
              <w:t>14</w:t>
            </w:r>
            <w:r>
              <w:rPr>
                <w:rFonts w:ascii="Arial" w:hAnsi="Arial" w:cs="Arial"/>
                <w:color w:val="000000"/>
                <w:sz w:val="22"/>
              </w:rPr>
              <w:t>’</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17</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32º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22</w:t>
            </w:r>
            <w:r>
              <w:rPr>
                <w:rFonts w:ascii="Arial" w:hAnsi="Arial" w:cs="Arial"/>
                <w:color w:val="000000"/>
                <w:sz w:val="22"/>
              </w:rPr>
              <w:t>’</w:t>
            </w:r>
          </w:p>
        </w:tc>
        <w:tc>
          <w:tcPr>
            <w:tcW w:w="315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79º</w:t>
            </w:r>
            <w:r>
              <w:rPr>
                <w:rFonts w:ascii="Arial" w:hAnsi="Arial" w:cs="Arial"/>
                <w:color w:val="000000"/>
                <w:sz w:val="22"/>
              </w:rPr>
              <w:t xml:space="preserve"> </w:t>
            </w:r>
            <w:r w:rsidRPr="00C35DF7">
              <w:rPr>
                <w:rFonts w:ascii="Arial" w:hAnsi="Arial" w:cs="Arial"/>
                <w:color w:val="000000"/>
                <w:sz w:val="22"/>
              </w:rPr>
              <w:t>22</w:t>
            </w:r>
            <w:r>
              <w:rPr>
                <w:rFonts w:ascii="Arial" w:hAnsi="Arial" w:cs="Arial"/>
                <w:color w:val="000000"/>
                <w:sz w:val="22"/>
              </w:rPr>
              <w:t>’</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18</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32º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00</w:t>
            </w:r>
            <w:r>
              <w:rPr>
                <w:rFonts w:ascii="Arial" w:hAnsi="Arial" w:cs="Arial"/>
                <w:color w:val="000000"/>
                <w:sz w:val="22"/>
              </w:rPr>
              <w:t>’</w:t>
            </w:r>
          </w:p>
        </w:tc>
        <w:tc>
          <w:tcPr>
            <w:tcW w:w="3150" w:type="dxa"/>
            <w:tcBorders>
              <w:right w:val="single" w:sz="4" w:space="0" w:color="000000"/>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80º</w:t>
            </w:r>
            <w:r>
              <w:rPr>
                <w:rFonts w:ascii="Arial" w:hAnsi="Arial" w:cs="Arial"/>
                <w:color w:val="000000"/>
                <w:sz w:val="22"/>
              </w:rPr>
              <w:t xml:space="preserve"> </w:t>
            </w:r>
            <w:r w:rsidRPr="00C35DF7">
              <w:rPr>
                <w:rFonts w:ascii="Arial" w:hAnsi="Arial" w:cs="Arial"/>
                <w:color w:val="000000"/>
                <w:sz w:val="22"/>
              </w:rPr>
              <w:t>00</w:t>
            </w:r>
            <w:r>
              <w:rPr>
                <w:rFonts w:ascii="Arial" w:hAnsi="Arial" w:cs="Arial"/>
                <w:color w:val="000000"/>
                <w:sz w:val="22"/>
              </w:rPr>
              <w:t>’</w:t>
            </w:r>
          </w:p>
        </w:tc>
      </w:tr>
      <w:tr w:rsidR="00AF014F" w:rsidRPr="00DC71BC" w:rsidTr="00AF014F">
        <w:trPr>
          <w:trHeight w:val="332"/>
        </w:trPr>
        <w:tc>
          <w:tcPr>
            <w:tcW w:w="0" w:type="auto"/>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19</w:t>
            </w:r>
          </w:p>
        </w:tc>
        <w:tc>
          <w:tcPr>
            <w:tcW w:w="0" w:type="auto"/>
            <w:tcBorders>
              <w:right w:val="nil"/>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27º</w:t>
            </w:r>
          </w:p>
        </w:tc>
        <w:tc>
          <w:tcPr>
            <w:tcW w:w="1137" w:type="dxa"/>
            <w:tcBorders>
              <w:left w:val="nil"/>
            </w:tcBorders>
            <w:vAlign w:val="bottom"/>
          </w:tcPr>
          <w:p w:rsidR="00AF014F" w:rsidRPr="00C35DF7" w:rsidRDefault="00AF014F" w:rsidP="00AF014F">
            <w:pPr>
              <w:ind w:right="429"/>
              <w:rPr>
                <w:rFonts w:ascii="Arial" w:hAnsi="Arial" w:cs="Arial"/>
              </w:rPr>
            </w:pPr>
            <w:r w:rsidRPr="00C35DF7">
              <w:rPr>
                <w:rFonts w:ascii="Arial" w:hAnsi="Arial" w:cs="Arial"/>
                <w:color w:val="000000"/>
                <w:sz w:val="22"/>
              </w:rPr>
              <w:t>51</w:t>
            </w:r>
            <w:r>
              <w:rPr>
                <w:rFonts w:ascii="Arial" w:hAnsi="Arial" w:cs="Arial"/>
                <w:color w:val="000000"/>
                <w:sz w:val="22"/>
              </w:rPr>
              <w:t>’</w:t>
            </w:r>
          </w:p>
        </w:tc>
        <w:tc>
          <w:tcPr>
            <w:tcW w:w="3150" w:type="dxa"/>
            <w:tcBorders>
              <w:right w:val="single" w:sz="4" w:space="0" w:color="000000"/>
            </w:tcBorders>
            <w:vAlign w:val="bottom"/>
          </w:tcPr>
          <w:p w:rsidR="00AF014F" w:rsidRPr="00C35DF7" w:rsidRDefault="00AF014F" w:rsidP="00AF014F">
            <w:pPr>
              <w:jc w:val="center"/>
              <w:rPr>
                <w:rFonts w:ascii="Arial" w:hAnsi="Arial" w:cs="Arial"/>
              </w:rPr>
            </w:pPr>
            <w:r w:rsidRPr="00C35DF7">
              <w:rPr>
                <w:rFonts w:ascii="Arial" w:hAnsi="Arial" w:cs="Arial"/>
                <w:color w:val="000000"/>
                <w:sz w:val="22"/>
              </w:rPr>
              <w:t>80º</w:t>
            </w:r>
            <w:r>
              <w:rPr>
                <w:rFonts w:ascii="Arial" w:hAnsi="Arial" w:cs="Arial"/>
                <w:color w:val="000000"/>
                <w:sz w:val="22"/>
              </w:rPr>
              <w:t xml:space="preserve"> </w:t>
            </w:r>
            <w:r w:rsidRPr="00C35DF7">
              <w:rPr>
                <w:rFonts w:ascii="Arial" w:hAnsi="Arial" w:cs="Arial"/>
                <w:color w:val="000000"/>
                <w:sz w:val="22"/>
              </w:rPr>
              <w:t>00</w:t>
            </w:r>
            <w:r>
              <w:rPr>
                <w:rFonts w:ascii="Arial" w:hAnsi="Arial" w:cs="Arial"/>
                <w:color w:val="000000"/>
                <w:sz w:val="22"/>
              </w:rPr>
              <w:t>’</w:t>
            </w:r>
          </w:p>
        </w:tc>
      </w:tr>
      <w:tr w:rsidR="00AF014F" w:rsidRPr="00DC71BC" w:rsidTr="00AF014F">
        <w:trPr>
          <w:trHeight w:val="332"/>
        </w:trPr>
        <w:tc>
          <w:tcPr>
            <w:tcW w:w="0" w:type="auto"/>
            <w:shd w:val="clear" w:color="auto" w:fill="F2F2F2" w:themeFill="background1" w:themeFillShade="F2"/>
            <w:vAlign w:val="bottom"/>
          </w:tcPr>
          <w:p w:rsidR="00AF014F" w:rsidRPr="00C35DF7" w:rsidRDefault="00AF014F" w:rsidP="00AF014F">
            <w:pPr>
              <w:ind w:right="144"/>
              <w:jc w:val="center"/>
              <w:rPr>
                <w:rFonts w:ascii="Arial" w:hAnsi="Arial" w:cs="Arial"/>
              </w:rPr>
            </w:pPr>
            <w:r w:rsidRPr="00C35DF7">
              <w:rPr>
                <w:rFonts w:ascii="Arial" w:hAnsi="Arial" w:cs="Arial"/>
                <w:color w:val="000000"/>
                <w:sz w:val="22"/>
              </w:rPr>
              <w:t>20</w:t>
            </w:r>
          </w:p>
        </w:tc>
        <w:tc>
          <w:tcPr>
            <w:tcW w:w="0" w:type="auto"/>
            <w:tcBorders>
              <w:right w:val="nil"/>
            </w:tcBorders>
            <w:shd w:val="clear" w:color="auto" w:fill="F2F2F2" w:themeFill="background1" w:themeFillShade="F2"/>
            <w:vAlign w:val="bottom"/>
          </w:tcPr>
          <w:p w:rsidR="00AF014F" w:rsidRPr="00C35DF7" w:rsidRDefault="00AF014F" w:rsidP="00AF014F">
            <w:pPr>
              <w:jc w:val="center"/>
              <w:rPr>
                <w:rFonts w:ascii="Arial" w:hAnsi="Arial" w:cs="Arial"/>
              </w:rPr>
            </w:pPr>
            <w:r w:rsidRPr="00C35DF7">
              <w:rPr>
                <w:rFonts w:ascii="Arial" w:hAnsi="Arial" w:cs="Arial"/>
                <w:color w:val="000000"/>
                <w:sz w:val="22"/>
              </w:rPr>
              <w:t>27º</w:t>
            </w:r>
          </w:p>
        </w:tc>
        <w:tc>
          <w:tcPr>
            <w:tcW w:w="1137" w:type="dxa"/>
            <w:tcBorders>
              <w:left w:val="nil"/>
            </w:tcBorders>
            <w:shd w:val="clear" w:color="auto" w:fill="F2F2F2" w:themeFill="background1" w:themeFillShade="F2"/>
            <w:vAlign w:val="bottom"/>
          </w:tcPr>
          <w:p w:rsidR="00AF014F" w:rsidRPr="00C35DF7" w:rsidRDefault="00AF014F" w:rsidP="00AF014F">
            <w:pPr>
              <w:ind w:right="429"/>
              <w:rPr>
                <w:rFonts w:ascii="Arial" w:hAnsi="Arial" w:cs="Arial"/>
              </w:rPr>
            </w:pPr>
            <w:r w:rsidRPr="00C35DF7">
              <w:rPr>
                <w:rFonts w:ascii="Arial" w:hAnsi="Arial" w:cs="Arial"/>
                <w:color w:val="000000"/>
                <w:sz w:val="22"/>
              </w:rPr>
              <w:t>51</w:t>
            </w:r>
            <w:r>
              <w:rPr>
                <w:rFonts w:ascii="Arial" w:hAnsi="Arial" w:cs="Arial"/>
                <w:color w:val="000000"/>
                <w:sz w:val="22"/>
              </w:rPr>
              <w:t>’</w:t>
            </w:r>
          </w:p>
        </w:tc>
        <w:tc>
          <w:tcPr>
            <w:tcW w:w="3150" w:type="dxa"/>
            <w:shd w:val="clear" w:color="auto" w:fill="F2F2F2" w:themeFill="background1" w:themeFillShade="F2"/>
            <w:vAlign w:val="bottom"/>
          </w:tcPr>
          <w:p w:rsidR="00AF014F" w:rsidRPr="00C35DF7" w:rsidDel="00015F58" w:rsidRDefault="00AF014F" w:rsidP="00AF014F">
            <w:pPr>
              <w:jc w:val="center"/>
              <w:rPr>
                <w:rFonts w:ascii="Arial" w:hAnsi="Arial" w:cs="Arial"/>
              </w:rPr>
            </w:pPr>
            <w:r w:rsidRPr="00C35DF7">
              <w:rPr>
                <w:rFonts w:ascii="Arial" w:hAnsi="Arial" w:cs="Arial"/>
                <w:sz w:val="22"/>
              </w:rPr>
              <w:t>State/EEZ Boundary</w:t>
            </w:r>
          </w:p>
        </w:tc>
      </w:tr>
    </w:tbl>
    <w:p w:rsidR="00AF014F" w:rsidRPr="00E34FB0" w:rsidRDefault="00AF014F" w:rsidP="00AF014F">
      <w:pPr>
        <w:rPr>
          <w:sz w:val="20"/>
          <w:szCs w:val="20"/>
        </w:rPr>
      </w:pPr>
      <w:r w:rsidRPr="00E34FB0">
        <w:rPr>
          <w:iCs/>
          <w:sz w:val="20"/>
          <w:szCs w:val="20"/>
        </w:rPr>
        <w:t>Source: Amanda Frick, NMFS SERO</w:t>
      </w:r>
    </w:p>
    <w:p w:rsidR="00AF014F" w:rsidRDefault="00AF014F" w:rsidP="00AF014F"/>
    <w:p w:rsidR="00AF014F" w:rsidRDefault="00AF014F" w:rsidP="00AF014F">
      <w:pPr>
        <w:spacing w:line="276" w:lineRule="auto"/>
        <w:jc w:val="center"/>
      </w:pPr>
      <w:r>
        <w:rPr>
          <w:noProof/>
        </w:rPr>
        <w:drawing>
          <wp:inline distT="0" distB="0" distL="0" distR="0">
            <wp:extent cx="5943600" cy="736536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6new.png"/>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7365365"/>
                    </a:xfrm>
                    <a:prstGeom prst="rect">
                      <a:avLst/>
                    </a:prstGeom>
                  </pic:spPr>
                </pic:pic>
              </a:graphicData>
            </a:graphic>
          </wp:inline>
        </w:drawing>
      </w:r>
    </w:p>
    <w:p w:rsidR="00AF014F" w:rsidRPr="00E34FB0" w:rsidRDefault="00AF014F" w:rsidP="00AF014F">
      <w:pPr>
        <w:pStyle w:val="Figuretitle"/>
        <w:rPr>
          <w:rFonts w:ascii="Arial" w:hAnsi="Arial" w:cs="Arial"/>
          <w:sz w:val="20"/>
          <w:szCs w:val="20"/>
        </w:rPr>
      </w:pPr>
      <w:bookmarkStart w:id="8" w:name="_Toc302115350"/>
      <w:proofErr w:type="gramStart"/>
      <w:r w:rsidRPr="00E34FB0">
        <w:rPr>
          <w:rFonts w:ascii="Arial" w:hAnsi="Arial" w:cs="Arial"/>
          <w:b/>
          <w:sz w:val="20"/>
          <w:szCs w:val="20"/>
        </w:rPr>
        <w:t>Figure 2.1.5</w:t>
      </w:r>
      <w:r w:rsidRPr="00E34FB0">
        <w:rPr>
          <w:rFonts w:ascii="Arial" w:hAnsi="Arial" w:cs="Arial"/>
          <w:sz w:val="20"/>
          <w:szCs w:val="20"/>
        </w:rPr>
        <w:t>.</w:t>
      </w:r>
      <w:proofErr w:type="gramEnd"/>
      <w:r w:rsidRPr="00E34FB0">
        <w:rPr>
          <w:rFonts w:ascii="Arial" w:hAnsi="Arial" w:cs="Arial"/>
          <w:sz w:val="20"/>
          <w:szCs w:val="20"/>
        </w:rPr>
        <w:t xml:space="preserve">  </w:t>
      </w:r>
      <w:proofErr w:type="gramStart"/>
      <w:r w:rsidRPr="00E34FB0">
        <w:rPr>
          <w:rFonts w:ascii="Arial" w:hAnsi="Arial" w:cs="Arial"/>
          <w:sz w:val="20"/>
          <w:szCs w:val="20"/>
        </w:rPr>
        <w:t>Area for the proposed black sea bass pot closure</w:t>
      </w:r>
      <w:r w:rsidR="000242E5" w:rsidRPr="00E34FB0">
        <w:rPr>
          <w:rFonts w:ascii="Arial" w:hAnsi="Arial" w:cs="Arial"/>
          <w:sz w:val="20"/>
          <w:szCs w:val="20"/>
        </w:rPr>
        <w:fldChar w:fldCharType="begin"/>
      </w:r>
      <w:r w:rsidRPr="00E34FB0">
        <w:rPr>
          <w:rFonts w:ascii="Arial" w:hAnsi="Arial" w:cs="Arial"/>
          <w:sz w:val="20"/>
          <w:szCs w:val="20"/>
        </w:rPr>
        <w:instrText xml:space="preserve"> XE "</w:instrText>
      </w:r>
      <w:r w:rsidRPr="00E34FB0">
        <w:rPr>
          <w:rStyle w:val="FiguretitleChar1"/>
          <w:rFonts w:ascii="Arial" w:eastAsiaTheme="minorHAnsi" w:hAnsi="Arial" w:cs="Arial"/>
          <w:sz w:val="20"/>
          <w:szCs w:val="20"/>
        </w:rPr>
        <w:instrText>black sea bass pot closure</w:instrText>
      </w:r>
      <w:r w:rsidRPr="00E34FB0">
        <w:rPr>
          <w:rFonts w:ascii="Arial" w:hAnsi="Arial" w:cs="Arial"/>
          <w:sz w:val="20"/>
          <w:szCs w:val="20"/>
        </w:rPr>
        <w:instrText xml:space="preserve">" </w:instrText>
      </w:r>
      <w:r w:rsidR="000242E5" w:rsidRPr="00E34FB0">
        <w:rPr>
          <w:rFonts w:ascii="Arial" w:hAnsi="Arial" w:cs="Arial"/>
          <w:sz w:val="20"/>
          <w:szCs w:val="20"/>
        </w:rPr>
        <w:fldChar w:fldCharType="end"/>
      </w:r>
      <w:r w:rsidRPr="00E34FB0">
        <w:rPr>
          <w:rFonts w:ascii="Arial" w:hAnsi="Arial" w:cs="Arial"/>
          <w:sz w:val="20"/>
          <w:szCs w:val="20"/>
        </w:rPr>
        <w:t xml:space="preserve"> in </w:t>
      </w:r>
      <w:r w:rsidRPr="00E34FB0">
        <w:rPr>
          <w:rFonts w:ascii="Arial" w:hAnsi="Arial" w:cs="Arial"/>
          <w:b/>
          <w:sz w:val="20"/>
          <w:szCs w:val="20"/>
        </w:rPr>
        <w:t>Alternative 6</w:t>
      </w:r>
      <w:r w:rsidRPr="00E34FB0">
        <w:rPr>
          <w:rFonts w:ascii="Arial" w:hAnsi="Arial" w:cs="Arial"/>
          <w:sz w:val="20"/>
          <w:szCs w:val="20"/>
        </w:rPr>
        <w:t>.</w:t>
      </w:r>
      <w:bookmarkEnd w:id="8"/>
      <w:proofErr w:type="gramEnd"/>
    </w:p>
    <w:p w:rsidR="00AF014F" w:rsidRPr="00E34FB0" w:rsidRDefault="00AF014F" w:rsidP="00AF014F">
      <w:pPr>
        <w:rPr>
          <w:sz w:val="20"/>
          <w:szCs w:val="20"/>
        </w:rPr>
      </w:pPr>
      <w:r w:rsidRPr="00E34FB0">
        <w:rPr>
          <w:iCs/>
          <w:sz w:val="20"/>
          <w:szCs w:val="20"/>
        </w:rPr>
        <w:t>Source: Amanda Frick, NMFS SERO</w:t>
      </w:r>
      <w:r w:rsidRPr="00E34FB0">
        <w:rPr>
          <w:b/>
          <w:sz w:val="20"/>
          <w:szCs w:val="20"/>
        </w:rPr>
        <w:br w:type="page"/>
      </w:r>
    </w:p>
    <w:p w:rsidR="00AF014F" w:rsidRPr="002F13E5" w:rsidRDefault="00AF014F" w:rsidP="00AF014F">
      <w:proofErr w:type="gramStart"/>
      <w:r w:rsidRPr="002F13E5">
        <w:rPr>
          <w:b/>
        </w:rPr>
        <w:lastRenderedPageBreak/>
        <w:t>Alternative 7</w:t>
      </w:r>
      <w:r w:rsidRPr="002F13E5">
        <w:t>.</w:t>
      </w:r>
      <w:proofErr w:type="gramEnd"/>
      <w:r w:rsidRPr="002F13E5">
        <w:t xml:space="preserve">  The black sea bass pot closure</w:t>
      </w:r>
      <w:r w:rsidR="000242E5" w:rsidRPr="002F13E5">
        <w:fldChar w:fldCharType="begin"/>
      </w:r>
      <w:r w:rsidRPr="002F13E5">
        <w:instrText xml:space="preserve"> XE "black sea bass pot closure" </w:instrText>
      </w:r>
      <w:r w:rsidR="000242E5" w:rsidRPr="002F13E5">
        <w:fldChar w:fldCharType="end"/>
      </w:r>
      <w:r w:rsidRPr="002F13E5">
        <w:t xml:space="preserve"> applies to the area currently designated as North Atlantic right whale critical</w:t>
      </w:r>
      <w:r w:rsidR="000242E5" w:rsidRPr="002F13E5">
        <w:fldChar w:fldCharType="begin"/>
      </w:r>
      <w:r w:rsidRPr="002F13E5">
        <w:instrText xml:space="preserve"> XE "North Atlantic right whale critical" </w:instrText>
      </w:r>
      <w:r w:rsidR="000242E5" w:rsidRPr="002F13E5">
        <w:fldChar w:fldCharType="end"/>
      </w:r>
      <w:r w:rsidRPr="002F13E5">
        <w:t xml:space="preserve"> habitat, in addition to waters inshore of points 1-29 listed below </w:t>
      </w:r>
      <w:r w:rsidRPr="002F13E5">
        <w:rPr>
          <w:b/>
        </w:rPr>
        <w:t>(Table 2.1.5)</w:t>
      </w:r>
      <w:r w:rsidRPr="002F13E5">
        <w:t xml:space="preserve">; approximately North of the Altamaha River, Georgia, to Cape Hatteras, North Carolina </w:t>
      </w:r>
      <w:r w:rsidRPr="002F13E5">
        <w:rPr>
          <w:b/>
        </w:rPr>
        <w:t>(Figure 2.1.6)</w:t>
      </w:r>
      <w:r w:rsidRPr="002F13E5">
        <w:t xml:space="preserve">. </w:t>
      </w:r>
    </w:p>
    <w:p w:rsidR="00AF014F" w:rsidRDefault="00AF014F" w:rsidP="00AF014F">
      <w:pPr>
        <w:ind w:left="720"/>
        <w:rPr>
          <w:b/>
        </w:rPr>
      </w:pPr>
    </w:p>
    <w:p w:rsidR="00AF014F" w:rsidRPr="003A06F9" w:rsidRDefault="00AF014F" w:rsidP="00AF014F">
      <w:pPr>
        <w:ind w:left="720"/>
        <w:rPr>
          <w:rFonts w:cs="Times New Roman"/>
          <w:bCs/>
        </w:rPr>
      </w:pPr>
      <w:proofErr w:type="gramStart"/>
      <w:r w:rsidRPr="003A06F9">
        <w:rPr>
          <w:rFonts w:cs="Times New Roman"/>
          <w:b/>
        </w:rPr>
        <w:t>Sub-alternative 7a.</w:t>
      </w:r>
      <w:proofErr w:type="gramEnd"/>
      <w:r w:rsidRPr="003A06F9">
        <w:rPr>
          <w:rFonts w:cs="Times New Roman"/>
          <w:b/>
        </w:rPr>
        <w:t xml:space="preserve">  </w:t>
      </w:r>
      <w:r w:rsidRPr="003A06F9">
        <w:rPr>
          <w:rStyle w:val="Heading3Char"/>
          <w:rFonts w:ascii="Times New Roman" w:eastAsiaTheme="minorHAnsi" w:hAnsi="Times New Roman" w:cs="Times New Roman"/>
          <w:b w:val="0"/>
          <w:szCs w:val="24"/>
        </w:rPr>
        <w:t>The black sea bass pot closure</w:t>
      </w:r>
      <w:r w:rsidR="000242E5" w:rsidRPr="003A06F9">
        <w:rPr>
          <w:rStyle w:val="Heading3Char"/>
          <w:rFonts w:ascii="Times New Roman" w:eastAsiaTheme="minorHAnsi" w:hAnsi="Times New Roman" w:cs="Times New Roman"/>
          <w:b w:val="0"/>
          <w:szCs w:val="24"/>
        </w:rPr>
        <w:fldChar w:fldCharType="begin"/>
      </w:r>
      <w:r w:rsidRPr="003A06F9">
        <w:rPr>
          <w:rFonts w:cs="Times New Roman"/>
        </w:rPr>
        <w:instrText xml:space="preserve"> XE "</w:instrText>
      </w:r>
      <w:r w:rsidRPr="003A06F9">
        <w:rPr>
          <w:rStyle w:val="FiguretitleChar1"/>
          <w:rFonts w:eastAsiaTheme="minorHAnsi"/>
        </w:rPr>
        <w:instrText>black sea bass pot closure</w:instrText>
      </w:r>
      <w:r w:rsidRPr="003A06F9">
        <w:rPr>
          <w:rFonts w:cs="Times New Roman"/>
        </w:rPr>
        <w:instrText xml:space="preserve">" </w:instrText>
      </w:r>
      <w:r w:rsidR="000242E5" w:rsidRPr="003A06F9">
        <w:rPr>
          <w:rStyle w:val="Heading3Char"/>
          <w:rFonts w:ascii="Times New Roman" w:eastAsiaTheme="minorHAnsi" w:hAnsi="Times New Roman" w:cs="Times New Roman"/>
          <w:b w:val="0"/>
          <w:szCs w:val="24"/>
        </w:rPr>
        <w:fldChar w:fldCharType="end"/>
      </w:r>
      <w:r w:rsidRPr="003A06F9">
        <w:rPr>
          <w:rStyle w:val="Heading3Char"/>
          <w:rFonts w:ascii="Times New Roman" w:eastAsiaTheme="minorHAnsi" w:hAnsi="Times New Roman" w:cs="Times New Roman"/>
          <w:b w:val="0"/>
          <w:szCs w:val="24"/>
        </w:rPr>
        <w:t xml:space="preserve"> applies to the area annually from November 1 through December 15 and March 15 through April 30.</w:t>
      </w:r>
    </w:p>
    <w:p w:rsidR="00AF014F" w:rsidRPr="003A06F9" w:rsidRDefault="00AF014F" w:rsidP="00AF014F">
      <w:pPr>
        <w:ind w:left="720"/>
        <w:rPr>
          <w:rFonts w:cs="Times New Roman"/>
          <w:b/>
        </w:rPr>
      </w:pPr>
    </w:p>
    <w:p w:rsidR="00AF014F" w:rsidRPr="003A06F9" w:rsidRDefault="00AF014F" w:rsidP="00AF014F">
      <w:pPr>
        <w:ind w:left="720"/>
        <w:rPr>
          <w:rStyle w:val="Heading3Char"/>
          <w:rFonts w:ascii="Times New Roman" w:eastAsiaTheme="minorHAnsi" w:hAnsi="Times New Roman" w:cs="Times New Roman"/>
          <w:b w:val="0"/>
          <w:szCs w:val="24"/>
        </w:rPr>
      </w:pPr>
      <w:proofErr w:type="gramStart"/>
      <w:r w:rsidRPr="003A06F9">
        <w:rPr>
          <w:rFonts w:cs="Times New Roman"/>
          <w:b/>
        </w:rPr>
        <w:t>Sub-alternative 7b.</w:t>
      </w:r>
      <w:proofErr w:type="gramEnd"/>
      <w:r w:rsidRPr="003A06F9">
        <w:rPr>
          <w:rFonts w:cs="Times New Roman"/>
          <w:b/>
        </w:rPr>
        <w:t xml:space="preserve">  </w:t>
      </w:r>
      <w:r w:rsidRPr="003A06F9">
        <w:rPr>
          <w:rFonts w:cs="Times New Roman"/>
        </w:rPr>
        <w:t>For the area off North Carolina and South Carolina,</w:t>
      </w:r>
      <w:r w:rsidRPr="003A06F9">
        <w:rPr>
          <w:rFonts w:cs="Times New Roman"/>
          <w:b/>
        </w:rPr>
        <w:t xml:space="preserve"> </w:t>
      </w:r>
      <w:r w:rsidRPr="003A06F9">
        <w:rPr>
          <w:rStyle w:val="Heading3Char"/>
          <w:rFonts w:ascii="Times New Roman" w:eastAsiaTheme="minorHAnsi" w:hAnsi="Times New Roman" w:cs="Times New Roman"/>
          <w:b w:val="0"/>
          <w:szCs w:val="24"/>
        </w:rPr>
        <w:t>the black sea bass pot closure</w:t>
      </w:r>
      <w:r w:rsidR="000242E5" w:rsidRPr="003A06F9">
        <w:rPr>
          <w:rStyle w:val="Heading3Char"/>
          <w:rFonts w:ascii="Times New Roman" w:eastAsiaTheme="minorHAnsi" w:hAnsi="Times New Roman" w:cs="Times New Roman"/>
          <w:b w:val="0"/>
          <w:szCs w:val="24"/>
        </w:rPr>
        <w:fldChar w:fldCharType="begin"/>
      </w:r>
      <w:r w:rsidRPr="003A06F9">
        <w:rPr>
          <w:rFonts w:cs="Times New Roman"/>
        </w:rPr>
        <w:instrText xml:space="preserve"> XE "</w:instrText>
      </w:r>
      <w:r w:rsidRPr="003A06F9">
        <w:rPr>
          <w:rStyle w:val="FiguretitleChar1"/>
          <w:rFonts w:eastAsiaTheme="minorHAnsi"/>
        </w:rPr>
        <w:instrText>black sea bass pot closure</w:instrText>
      </w:r>
      <w:r w:rsidRPr="003A06F9">
        <w:rPr>
          <w:rFonts w:cs="Times New Roman"/>
        </w:rPr>
        <w:instrText xml:space="preserve">" </w:instrText>
      </w:r>
      <w:r w:rsidR="000242E5" w:rsidRPr="003A06F9">
        <w:rPr>
          <w:rStyle w:val="Heading3Char"/>
          <w:rFonts w:ascii="Times New Roman" w:eastAsiaTheme="minorHAnsi" w:hAnsi="Times New Roman" w:cs="Times New Roman"/>
          <w:b w:val="0"/>
          <w:szCs w:val="24"/>
        </w:rPr>
        <w:fldChar w:fldCharType="end"/>
      </w:r>
      <w:r w:rsidRPr="003A06F9">
        <w:rPr>
          <w:rStyle w:val="Heading3Char"/>
          <w:rFonts w:ascii="Times New Roman" w:eastAsiaTheme="minorHAnsi" w:hAnsi="Times New Roman" w:cs="Times New Roman"/>
          <w:b w:val="0"/>
          <w:szCs w:val="24"/>
        </w:rPr>
        <w:t xml:space="preserve"> applies annually from November 1 through December 15 and March 15 through April 30.  For the area off Georgia and Florida, the black sea bass pot closure applies annually from November 15 through April 15.</w:t>
      </w:r>
    </w:p>
    <w:p w:rsidR="00AF014F" w:rsidRPr="003A06F9" w:rsidRDefault="00AF014F" w:rsidP="00AF014F">
      <w:pPr>
        <w:ind w:left="720"/>
        <w:rPr>
          <w:rStyle w:val="Heading3Char"/>
          <w:rFonts w:ascii="Times New Roman" w:eastAsiaTheme="minorHAnsi" w:hAnsi="Times New Roman" w:cs="Times New Roman"/>
          <w:b w:val="0"/>
        </w:rPr>
      </w:pPr>
    </w:p>
    <w:p w:rsidR="00AF014F" w:rsidRPr="003A06F9" w:rsidRDefault="00AF014F" w:rsidP="00AF014F">
      <w:pPr>
        <w:ind w:left="720"/>
        <w:rPr>
          <w:rStyle w:val="Heading3Char"/>
          <w:rFonts w:ascii="Times New Roman" w:eastAsiaTheme="minorHAnsi" w:hAnsi="Times New Roman" w:cs="Times New Roman"/>
          <w:b w:val="0"/>
        </w:rPr>
      </w:pPr>
      <w:proofErr w:type="gramStart"/>
      <w:r w:rsidRPr="003A06F9">
        <w:rPr>
          <w:rFonts w:cs="Times New Roman"/>
          <w:b/>
        </w:rPr>
        <w:t>Sub-alternative 7c.</w:t>
      </w:r>
      <w:proofErr w:type="gramEnd"/>
      <w:r w:rsidRPr="003A06F9">
        <w:rPr>
          <w:rFonts w:cs="Times New Roman"/>
          <w:b/>
        </w:rPr>
        <w:t xml:space="preserve">  </w:t>
      </w:r>
      <w:r w:rsidRPr="003A06F9">
        <w:rPr>
          <w:rFonts w:cs="Times New Roman"/>
        </w:rPr>
        <w:t xml:space="preserve">For the area off North Carolina and South Carolina, </w:t>
      </w:r>
      <w:r w:rsidRPr="003A06F9">
        <w:rPr>
          <w:rStyle w:val="Heading3Char"/>
          <w:rFonts w:ascii="Times New Roman" w:eastAsiaTheme="minorHAnsi" w:hAnsi="Times New Roman" w:cs="Times New Roman"/>
          <w:b w:val="0"/>
          <w:szCs w:val="24"/>
        </w:rPr>
        <w:t>the black sea bass pot closure</w:t>
      </w:r>
      <w:r w:rsidR="000242E5" w:rsidRPr="003A06F9">
        <w:rPr>
          <w:rStyle w:val="Heading3Char"/>
          <w:rFonts w:ascii="Times New Roman" w:eastAsiaTheme="minorHAnsi" w:hAnsi="Times New Roman" w:cs="Times New Roman"/>
          <w:b w:val="0"/>
          <w:szCs w:val="24"/>
        </w:rPr>
        <w:fldChar w:fldCharType="begin"/>
      </w:r>
      <w:r w:rsidRPr="003A06F9">
        <w:rPr>
          <w:rFonts w:cs="Times New Roman"/>
        </w:rPr>
        <w:instrText xml:space="preserve"> XE "</w:instrText>
      </w:r>
      <w:r w:rsidRPr="003A06F9">
        <w:rPr>
          <w:rStyle w:val="FiguretitleChar1"/>
          <w:rFonts w:eastAsiaTheme="minorHAnsi"/>
        </w:rPr>
        <w:instrText>black sea bass pot closure</w:instrText>
      </w:r>
      <w:r w:rsidRPr="003A06F9">
        <w:rPr>
          <w:rFonts w:cs="Times New Roman"/>
        </w:rPr>
        <w:instrText xml:space="preserve">" </w:instrText>
      </w:r>
      <w:r w:rsidR="000242E5" w:rsidRPr="003A06F9">
        <w:rPr>
          <w:rStyle w:val="Heading3Char"/>
          <w:rFonts w:ascii="Times New Roman" w:eastAsiaTheme="minorHAnsi" w:hAnsi="Times New Roman" w:cs="Times New Roman"/>
          <w:b w:val="0"/>
          <w:szCs w:val="24"/>
        </w:rPr>
        <w:fldChar w:fldCharType="end"/>
      </w:r>
      <w:r w:rsidRPr="003A06F9">
        <w:rPr>
          <w:rStyle w:val="Heading3Char"/>
          <w:rFonts w:ascii="Times New Roman" w:eastAsiaTheme="minorHAnsi" w:hAnsi="Times New Roman" w:cs="Times New Roman"/>
          <w:b w:val="0"/>
          <w:szCs w:val="24"/>
        </w:rPr>
        <w:t xml:space="preserve"> applies annually from February 15 through April 30.  For the area off Georgia and Florida, the black sea bass pot closure applies annually from November 15 through April 15.</w:t>
      </w:r>
    </w:p>
    <w:p w:rsidR="00AF014F" w:rsidRPr="003A06F9" w:rsidRDefault="00AF014F" w:rsidP="00AF014F">
      <w:pPr>
        <w:ind w:left="720"/>
        <w:rPr>
          <w:rFonts w:cs="Times New Roman"/>
          <w:bCs/>
        </w:rPr>
      </w:pPr>
    </w:p>
    <w:p w:rsidR="00AF014F" w:rsidRPr="003A06F9" w:rsidRDefault="00AF014F" w:rsidP="00AF014F">
      <w:pPr>
        <w:rPr>
          <w:rFonts w:cs="Times New Roman"/>
          <w:b/>
          <w:highlight w:val="yellow"/>
        </w:rPr>
      </w:pPr>
      <w:r w:rsidRPr="003A06F9">
        <w:rPr>
          <w:rStyle w:val="Heading3Char"/>
          <w:rFonts w:ascii="Times New Roman" w:eastAsiaTheme="minorHAnsi" w:hAnsi="Times New Roman" w:cs="Times New Roman"/>
          <w:b w:val="0"/>
          <w:szCs w:val="24"/>
        </w:rPr>
        <w:t>This area represents existing North Atlantic right whale critical</w:t>
      </w:r>
      <w:r w:rsidR="000242E5" w:rsidRPr="003A06F9">
        <w:rPr>
          <w:rStyle w:val="Heading3Char"/>
          <w:rFonts w:ascii="Times New Roman" w:eastAsiaTheme="minorHAnsi" w:hAnsi="Times New Roman" w:cs="Times New Roman"/>
          <w:b w:val="0"/>
          <w:szCs w:val="24"/>
        </w:rPr>
        <w:fldChar w:fldCharType="begin"/>
      </w:r>
      <w:r w:rsidRPr="003A06F9">
        <w:rPr>
          <w:rFonts w:cs="Times New Roman"/>
        </w:rPr>
        <w:instrText xml:space="preserve"> XE "</w:instrText>
      </w:r>
      <w:r w:rsidRPr="003A06F9">
        <w:rPr>
          <w:rStyle w:val="Heading3Char"/>
          <w:rFonts w:ascii="Times New Roman" w:eastAsiaTheme="minorHAnsi" w:hAnsi="Times New Roman" w:cs="Times New Roman"/>
          <w:b w:val="0"/>
          <w:szCs w:val="24"/>
        </w:rPr>
        <w:instrText>North Atlantic right whale critical</w:instrText>
      </w:r>
      <w:r w:rsidRPr="003A06F9">
        <w:rPr>
          <w:rFonts w:cs="Times New Roman"/>
        </w:rPr>
        <w:instrText xml:space="preserve">" </w:instrText>
      </w:r>
      <w:r w:rsidR="000242E5" w:rsidRPr="003A06F9">
        <w:rPr>
          <w:rStyle w:val="Heading3Char"/>
          <w:rFonts w:ascii="Times New Roman" w:eastAsiaTheme="minorHAnsi" w:hAnsi="Times New Roman" w:cs="Times New Roman"/>
          <w:b w:val="0"/>
          <w:szCs w:val="24"/>
        </w:rPr>
        <w:fldChar w:fldCharType="end"/>
      </w:r>
      <w:r w:rsidRPr="003A06F9">
        <w:rPr>
          <w:rStyle w:val="Heading3Char"/>
          <w:rFonts w:ascii="Times New Roman" w:eastAsiaTheme="minorHAnsi" w:hAnsi="Times New Roman" w:cs="Times New Roman"/>
          <w:b w:val="0"/>
          <w:szCs w:val="24"/>
        </w:rPr>
        <w:t xml:space="preserve"> habitat in the South Atlantic region designated on June 3, 1994.</w:t>
      </w:r>
      <w:r w:rsidRPr="003A06F9">
        <w:rPr>
          <w:rStyle w:val="Heading3Char"/>
          <w:rFonts w:ascii="Times New Roman" w:eastAsiaTheme="minorHAnsi" w:hAnsi="Times New Roman" w:cs="Times New Roman"/>
          <w:szCs w:val="24"/>
        </w:rPr>
        <w:t xml:space="preserve">  </w:t>
      </w:r>
      <w:r w:rsidR="005B2980" w:rsidRPr="003A06F9">
        <w:rPr>
          <w:rStyle w:val="Heading3Char"/>
          <w:rFonts w:ascii="Times New Roman" w:eastAsiaTheme="minorHAnsi" w:hAnsi="Times New Roman" w:cs="Times New Roman"/>
          <w:b w:val="0"/>
          <w:szCs w:val="24"/>
        </w:rPr>
        <w:t xml:space="preserve">The boundary would not automatically change if the boundary for the right whale critical habitat were to change.  </w:t>
      </w:r>
      <w:r w:rsidRPr="003A06F9">
        <w:rPr>
          <w:rFonts w:cs="Times New Roman"/>
          <w:color w:val="222222"/>
          <w:shd w:val="clear" w:color="auto" w:fill="FFFFFF"/>
        </w:rPr>
        <w:t>North Atlantic right whale critical habitat is currently undergoing a revision based on more current data.  Proposed changes are published at: 80 FR 9314.  </w:t>
      </w:r>
      <w:r w:rsidRPr="003A06F9">
        <w:rPr>
          <w:rFonts w:cs="Times New Roman"/>
          <w:iCs/>
        </w:rPr>
        <w:t>Off North Carolina and South Carolina, the black sea bass pot closure</w:t>
      </w:r>
      <w:r w:rsidR="000242E5" w:rsidRPr="003A06F9">
        <w:rPr>
          <w:rFonts w:cs="Times New Roman"/>
          <w:iCs/>
        </w:rPr>
        <w:fldChar w:fldCharType="begin"/>
      </w:r>
      <w:r w:rsidRPr="003A06F9">
        <w:rPr>
          <w:rFonts w:cs="Times New Roman"/>
        </w:rPr>
        <w:instrText xml:space="preserve"> XE "</w:instrText>
      </w:r>
      <w:r w:rsidRPr="003A06F9">
        <w:rPr>
          <w:rStyle w:val="FiguretitleChar1"/>
          <w:rFonts w:eastAsiaTheme="minorHAnsi"/>
        </w:rPr>
        <w:instrText>black sea bass pot closure</w:instrText>
      </w:r>
      <w:r w:rsidRPr="003A06F9">
        <w:rPr>
          <w:rFonts w:cs="Times New Roman"/>
        </w:rPr>
        <w:instrText xml:space="preserve">" </w:instrText>
      </w:r>
      <w:r w:rsidR="000242E5" w:rsidRPr="003A06F9">
        <w:rPr>
          <w:rFonts w:cs="Times New Roman"/>
          <w:iCs/>
        </w:rPr>
        <w:fldChar w:fldCharType="end"/>
      </w:r>
      <w:r w:rsidRPr="003A06F9">
        <w:rPr>
          <w:rFonts w:cs="Times New Roman"/>
          <w:iCs/>
        </w:rPr>
        <w:t xml:space="preserve"> applies</w:t>
      </w:r>
      <w:r w:rsidRPr="003A06F9">
        <w:rPr>
          <w:rFonts w:cs="Times New Roman"/>
          <w:b/>
          <w:iCs/>
        </w:rPr>
        <w:t xml:space="preserve"> </w:t>
      </w:r>
      <w:r w:rsidRPr="003A06F9">
        <w:rPr>
          <w:rStyle w:val="Heading3Char"/>
          <w:rFonts w:ascii="Times New Roman" w:eastAsiaTheme="minorHAnsi" w:hAnsi="Times New Roman" w:cs="Times New Roman"/>
          <w:b w:val="0"/>
          <w:szCs w:val="24"/>
        </w:rPr>
        <w:t>in the exclusive economic zone in waters shallower than 25 meters.  The eastern boundary of the closure between these two areas was formed by drawing a straight line from the southeastern corner waypoint of the northern portion (NC/SC) to the northeastern corner waypoint of the southern section (FL/GA).</w:t>
      </w:r>
    </w:p>
    <w:p w:rsidR="00AF014F" w:rsidRPr="003A06F9" w:rsidRDefault="00AF014F" w:rsidP="00AF014F">
      <w:pPr>
        <w:rPr>
          <w:rFonts w:cs="Times New Roman"/>
          <w:b/>
          <w:highlight w:val="yellow"/>
        </w:rPr>
      </w:pPr>
    </w:p>
    <w:p w:rsidR="00AF014F" w:rsidRDefault="00AF014F" w:rsidP="00AF014F">
      <w:pPr>
        <w:widowControl w:val="0"/>
        <w:autoSpaceDE w:val="0"/>
        <w:autoSpaceDN w:val="0"/>
        <w:adjustRightInd w:val="0"/>
      </w:pPr>
      <w:r>
        <w:t>The following is l</w:t>
      </w:r>
      <w:r w:rsidRPr="00E87D40">
        <w:t>anguage describing th</w:t>
      </w:r>
      <w:r>
        <w:t>e</w:t>
      </w:r>
      <w:r w:rsidRPr="00E87D40">
        <w:t xml:space="preserve"> </w:t>
      </w:r>
      <w:r>
        <w:t>North Atlantic right whale critical</w:t>
      </w:r>
      <w:r w:rsidR="000242E5">
        <w:fldChar w:fldCharType="begin"/>
      </w:r>
      <w:r>
        <w:instrText xml:space="preserve"> XE "</w:instrText>
      </w:r>
      <w:r w:rsidRPr="00DF5E92">
        <w:rPr>
          <w:rStyle w:val="Heading3Char"/>
          <w:rFonts w:eastAsiaTheme="minorHAnsi" w:cs="Times New Roman"/>
          <w:b w:val="0"/>
          <w:szCs w:val="24"/>
        </w:rPr>
        <w:instrText>North Atlantic right whale critical</w:instrText>
      </w:r>
      <w:r>
        <w:instrText xml:space="preserve">" </w:instrText>
      </w:r>
      <w:r w:rsidR="000242E5">
        <w:fldChar w:fldCharType="end"/>
      </w:r>
      <w:r>
        <w:t xml:space="preserve"> habitat </w:t>
      </w:r>
      <w:r w:rsidRPr="00E87D40">
        <w:t xml:space="preserve">area from </w:t>
      </w:r>
      <w:r>
        <w:t>50 CFR 226:</w:t>
      </w:r>
    </w:p>
    <w:p w:rsidR="00AF014F" w:rsidRPr="002F5F78" w:rsidRDefault="00AF014F" w:rsidP="00AF014F">
      <w:pPr>
        <w:widowControl w:val="0"/>
        <w:autoSpaceDE w:val="0"/>
        <w:autoSpaceDN w:val="0"/>
        <w:adjustRightInd w:val="0"/>
        <w:ind w:left="720"/>
        <w:rPr>
          <w:i/>
        </w:rPr>
      </w:pPr>
      <w:r w:rsidRPr="002F5F78">
        <w:rPr>
          <w:i/>
        </w:rPr>
        <w:t>Southeastern United States: The area designated as critical habitat in these waters encompasses waters between 31 deg.15</w:t>
      </w:r>
      <w:r>
        <w:rPr>
          <w:i/>
        </w:rPr>
        <w:t>’</w:t>
      </w:r>
      <w:r w:rsidRPr="002F5F78">
        <w:rPr>
          <w:i/>
        </w:rPr>
        <w:t>N (approximately located at the mouth of the Altamaha River, GA) and 30 deg.15</w:t>
      </w:r>
      <w:r>
        <w:rPr>
          <w:i/>
        </w:rPr>
        <w:t>’</w:t>
      </w:r>
      <w:r w:rsidRPr="002F5F78">
        <w:rPr>
          <w:i/>
        </w:rPr>
        <w:t>N (approximately Jacksonville, FL) from the shoreline out to 15 nautical miles offshore; and the waters between 30 deg.15</w:t>
      </w:r>
      <w:r>
        <w:rPr>
          <w:i/>
        </w:rPr>
        <w:t>’</w:t>
      </w:r>
      <w:r w:rsidRPr="002F5F78">
        <w:rPr>
          <w:i/>
        </w:rPr>
        <w:t>N and 28 deg.00</w:t>
      </w:r>
      <w:r>
        <w:rPr>
          <w:i/>
        </w:rPr>
        <w:t>’</w:t>
      </w:r>
      <w:r w:rsidRPr="002F5F78">
        <w:rPr>
          <w:i/>
        </w:rPr>
        <w:t>N (approximately Sebastian Inlet, FL) from the shoreline out to 5 nautical miles.</w:t>
      </w:r>
    </w:p>
    <w:p w:rsidR="00AF014F" w:rsidRDefault="00AF014F" w:rsidP="00AF014F">
      <w:pPr>
        <w:rPr>
          <w:iCs/>
        </w:rPr>
      </w:pPr>
    </w:p>
    <w:p w:rsidR="00AF014F" w:rsidRPr="004D4C2E" w:rsidRDefault="00AF014F" w:rsidP="00AF014F">
      <w:pPr>
        <w:rPr>
          <w:rStyle w:val="Heading3Char"/>
          <w:rFonts w:eastAsiaTheme="minorHAnsi"/>
          <w:b w:val="0"/>
        </w:rPr>
      </w:pPr>
      <w:r w:rsidRPr="004D4C2E">
        <w:rPr>
          <w:iCs/>
        </w:rPr>
        <w:t>Note: Federal regulations would only apply to that portion of the area within the South Atlantic EEZ</w:t>
      </w:r>
      <w:r w:rsidR="000242E5">
        <w:rPr>
          <w:iCs/>
        </w:rPr>
        <w:fldChar w:fldCharType="begin"/>
      </w:r>
      <w:r>
        <w:instrText xml:space="preserve"> XE "</w:instrText>
      </w:r>
      <w:r w:rsidRPr="000E2ACD">
        <w:instrText>South Atlantic EEZ</w:instrText>
      </w:r>
      <w:r>
        <w:instrText xml:space="preserve">" </w:instrText>
      </w:r>
      <w:r w:rsidR="000242E5">
        <w:rPr>
          <w:iCs/>
        </w:rPr>
        <w:fldChar w:fldCharType="end"/>
      </w:r>
      <w:r w:rsidRPr="004D4C2E">
        <w:rPr>
          <w:iCs/>
        </w:rPr>
        <w:t>.  The states will be asked to implement compatible regulations for the portion of the area within state waters.</w:t>
      </w:r>
    </w:p>
    <w:p w:rsidR="00AF014F" w:rsidRPr="004D4C2E" w:rsidRDefault="00AF014F" w:rsidP="00AF014F">
      <w:pPr>
        <w:rPr>
          <w:rStyle w:val="Heading3Char"/>
          <w:rFonts w:eastAsiaTheme="minorHAnsi"/>
        </w:rPr>
      </w:pPr>
    </w:p>
    <w:p w:rsidR="00AF014F" w:rsidRPr="002F5F78" w:rsidRDefault="00AF014F" w:rsidP="00AF014F">
      <w:pPr>
        <w:rPr>
          <w:i/>
        </w:rPr>
      </w:pPr>
    </w:p>
    <w:p w:rsidR="00AF014F" w:rsidRDefault="00AF014F" w:rsidP="00AF014F">
      <w:pPr>
        <w:spacing w:line="276" w:lineRule="auto"/>
        <w:ind w:left="720"/>
        <w:rPr>
          <w:bCs/>
        </w:rPr>
      </w:pPr>
    </w:p>
    <w:p w:rsidR="00AF014F" w:rsidRDefault="00AF014F" w:rsidP="00AF014F">
      <w:pPr>
        <w:spacing w:line="276" w:lineRule="auto"/>
        <w:ind w:left="720"/>
        <w:rPr>
          <w:bCs/>
        </w:rPr>
      </w:pPr>
    </w:p>
    <w:p w:rsidR="00AF014F" w:rsidRDefault="00AF014F" w:rsidP="00AF014F">
      <w:pPr>
        <w:spacing w:line="276" w:lineRule="auto"/>
        <w:ind w:left="720"/>
        <w:rPr>
          <w:bCs/>
        </w:rPr>
      </w:pPr>
    </w:p>
    <w:p w:rsidR="00AF014F" w:rsidRDefault="00AF014F" w:rsidP="00AF014F">
      <w:pPr>
        <w:pStyle w:val="Tabletitle"/>
      </w:pPr>
    </w:p>
    <w:p w:rsidR="00AF014F" w:rsidRDefault="00AF014F" w:rsidP="00AF014F">
      <w:pPr>
        <w:pStyle w:val="Tabletitle"/>
      </w:pPr>
    </w:p>
    <w:p w:rsidR="00AF014F" w:rsidRPr="00E34FB0" w:rsidRDefault="00AF014F" w:rsidP="00AF014F">
      <w:pPr>
        <w:pStyle w:val="Tabletitle"/>
        <w:rPr>
          <w:rFonts w:cs="Arial"/>
        </w:rPr>
      </w:pPr>
      <w:bookmarkStart w:id="9" w:name="_Toc302115474"/>
      <w:proofErr w:type="gramStart"/>
      <w:r w:rsidRPr="00E34FB0">
        <w:rPr>
          <w:rFonts w:cs="Arial"/>
        </w:rPr>
        <w:t>Table 2.1.5.</w:t>
      </w:r>
      <w:proofErr w:type="gramEnd"/>
      <w:r w:rsidRPr="00E34FB0">
        <w:rPr>
          <w:rFonts w:cs="Arial"/>
        </w:rPr>
        <w:t xml:space="preserve">  </w:t>
      </w:r>
      <w:r w:rsidRPr="00E34FB0">
        <w:rPr>
          <w:rFonts w:cs="Arial"/>
          <w:b w:val="0"/>
        </w:rPr>
        <w:t>Eastern boundary coordinates for the proposed black sea bass pot closure</w:t>
      </w:r>
      <w:r w:rsidR="000242E5" w:rsidRPr="00E34FB0">
        <w:rPr>
          <w:rFonts w:cs="Arial"/>
          <w:b w:val="0"/>
        </w:rPr>
        <w:fldChar w:fldCharType="begin"/>
      </w:r>
      <w:r w:rsidRPr="00E34FB0">
        <w:rPr>
          <w:rFonts w:cs="Arial"/>
        </w:rPr>
        <w:instrText xml:space="preserve"> XE "</w:instrText>
      </w:r>
      <w:r w:rsidRPr="00E34FB0">
        <w:rPr>
          <w:rStyle w:val="FiguretitleChar1"/>
          <w:rFonts w:eastAsiaTheme="minorHAnsi" w:cs="Arial"/>
          <w:sz w:val="20"/>
          <w:szCs w:val="20"/>
        </w:rPr>
        <w:instrText>black sea bass pot closure</w:instrText>
      </w:r>
      <w:r w:rsidRPr="00E34FB0">
        <w:rPr>
          <w:rFonts w:cs="Arial"/>
        </w:rPr>
        <w:instrText xml:space="preserve">" </w:instrText>
      </w:r>
      <w:r w:rsidR="000242E5" w:rsidRPr="00E34FB0">
        <w:rPr>
          <w:rFonts w:cs="Arial"/>
          <w:b w:val="0"/>
        </w:rPr>
        <w:fldChar w:fldCharType="end"/>
      </w:r>
      <w:r w:rsidRPr="00E34FB0">
        <w:rPr>
          <w:rFonts w:cs="Arial"/>
          <w:b w:val="0"/>
        </w:rPr>
        <w:t xml:space="preserve"> in </w:t>
      </w:r>
      <w:r w:rsidRPr="00E34FB0">
        <w:rPr>
          <w:rFonts w:cs="Arial"/>
        </w:rPr>
        <w:t>Alternative 7</w:t>
      </w:r>
      <w:r w:rsidRPr="00E34FB0">
        <w:rPr>
          <w:rFonts w:cs="Arial"/>
          <w:b w:val="0"/>
        </w:rPr>
        <w:t>.</w:t>
      </w:r>
      <w:bookmarkEnd w:id="9"/>
      <w:r w:rsidRPr="00E34FB0">
        <w:rPr>
          <w:rFonts w:cs="Arial"/>
          <w:b w:val="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1506"/>
        <w:gridCol w:w="2246"/>
        <w:gridCol w:w="1002"/>
        <w:gridCol w:w="1440"/>
        <w:gridCol w:w="2238"/>
      </w:tblGrid>
      <w:tr w:rsidR="00AF014F" w:rsidRPr="00DC71BC" w:rsidTr="00AF014F">
        <w:trPr>
          <w:trHeight w:val="287"/>
        </w:trPr>
        <w:tc>
          <w:tcPr>
            <w:tcW w:w="766" w:type="dxa"/>
            <w:shd w:val="clear" w:color="auto" w:fill="D9D9D9"/>
            <w:vAlign w:val="bottom"/>
          </w:tcPr>
          <w:p w:rsidR="00AF014F" w:rsidRPr="00C35DF7" w:rsidRDefault="00AF014F" w:rsidP="00AF014F">
            <w:pPr>
              <w:jc w:val="center"/>
              <w:rPr>
                <w:rFonts w:ascii="Arial" w:hAnsi="Arial" w:cs="Arial"/>
              </w:rPr>
            </w:pPr>
            <w:r w:rsidRPr="00C35DF7">
              <w:rPr>
                <w:rFonts w:ascii="Arial" w:hAnsi="Arial" w:cs="Arial"/>
                <w:b/>
                <w:sz w:val="22"/>
              </w:rPr>
              <w:t>Point</w:t>
            </w:r>
          </w:p>
        </w:tc>
        <w:tc>
          <w:tcPr>
            <w:tcW w:w="1506" w:type="dxa"/>
            <w:shd w:val="clear" w:color="auto" w:fill="D9D9D9"/>
            <w:vAlign w:val="bottom"/>
          </w:tcPr>
          <w:p w:rsidR="00AF014F" w:rsidRPr="00C35DF7" w:rsidRDefault="00AF014F" w:rsidP="00AF014F">
            <w:pPr>
              <w:jc w:val="center"/>
              <w:rPr>
                <w:rFonts w:ascii="Arial" w:hAnsi="Arial" w:cs="Arial"/>
              </w:rPr>
            </w:pPr>
            <w:r w:rsidRPr="00C35DF7">
              <w:rPr>
                <w:rFonts w:ascii="Arial" w:hAnsi="Arial" w:cs="Arial"/>
                <w:b/>
                <w:sz w:val="22"/>
              </w:rPr>
              <w:t>N Latitude</w:t>
            </w:r>
          </w:p>
        </w:tc>
        <w:tc>
          <w:tcPr>
            <w:tcW w:w="2246" w:type="dxa"/>
            <w:shd w:val="clear" w:color="auto" w:fill="D9D9D9"/>
            <w:vAlign w:val="bottom"/>
          </w:tcPr>
          <w:p w:rsidR="00AF014F" w:rsidRPr="00C35DF7" w:rsidRDefault="00AF014F" w:rsidP="00AF014F">
            <w:pPr>
              <w:jc w:val="center"/>
              <w:rPr>
                <w:rFonts w:ascii="Arial" w:hAnsi="Arial" w:cs="Arial"/>
              </w:rPr>
            </w:pPr>
            <w:r w:rsidRPr="00C35DF7">
              <w:rPr>
                <w:rFonts w:ascii="Arial" w:hAnsi="Arial" w:cs="Arial"/>
                <w:b/>
                <w:sz w:val="22"/>
              </w:rPr>
              <w:t>W Longitude</w:t>
            </w:r>
          </w:p>
        </w:tc>
        <w:tc>
          <w:tcPr>
            <w:tcW w:w="1002" w:type="dxa"/>
            <w:shd w:val="clear" w:color="auto" w:fill="D9D9D9"/>
            <w:vAlign w:val="bottom"/>
          </w:tcPr>
          <w:p w:rsidR="00AF014F" w:rsidRPr="00C35DF7" w:rsidRDefault="00AF014F" w:rsidP="00AF014F">
            <w:pPr>
              <w:jc w:val="center"/>
              <w:rPr>
                <w:rFonts w:ascii="Arial" w:hAnsi="Arial" w:cs="Arial"/>
                <w:b/>
              </w:rPr>
            </w:pPr>
            <w:r w:rsidRPr="00C35DF7">
              <w:rPr>
                <w:rFonts w:ascii="Arial" w:hAnsi="Arial" w:cs="Arial"/>
                <w:b/>
                <w:sz w:val="22"/>
              </w:rPr>
              <w:t>Point</w:t>
            </w:r>
          </w:p>
        </w:tc>
        <w:tc>
          <w:tcPr>
            <w:tcW w:w="1440" w:type="dxa"/>
            <w:shd w:val="clear" w:color="auto" w:fill="D9D9D9"/>
            <w:vAlign w:val="bottom"/>
          </w:tcPr>
          <w:p w:rsidR="00AF014F" w:rsidRPr="00C35DF7" w:rsidRDefault="00AF014F" w:rsidP="00AF014F">
            <w:pPr>
              <w:jc w:val="center"/>
              <w:rPr>
                <w:rFonts w:ascii="Arial" w:hAnsi="Arial" w:cs="Arial"/>
                <w:b/>
              </w:rPr>
            </w:pPr>
            <w:r w:rsidRPr="00C35DF7">
              <w:rPr>
                <w:rFonts w:ascii="Arial" w:hAnsi="Arial" w:cs="Arial"/>
                <w:b/>
                <w:sz w:val="22"/>
              </w:rPr>
              <w:t>N Latitude</w:t>
            </w:r>
          </w:p>
        </w:tc>
        <w:tc>
          <w:tcPr>
            <w:tcW w:w="2238" w:type="dxa"/>
            <w:shd w:val="clear" w:color="auto" w:fill="D9D9D9"/>
            <w:vAlign w:val="bottom"/>
          </w:tcPr>
          <w:p w:rsidR="00AF014F" w:rsidRPr="00C35DF7" w:rsidRDefault="00AF014F" w:rsidP="00AF014F">
            <w:pPr>
              <w:jc w:val="center"/>
              <w:rPr>
                <w:rFonts w:ascii="Arial" w:hAnsi="Arial" w:cs="Arial"/>
                <w:b/>
              </w:rPr>
            </w:pPr>
            <w:r w:rsidRPr="00C35DF7">
              <w:rPr>
                <w:rFonts w:ascii="Arial" w:hAnsi="Arial" w:cs="Arial"/>
                <w:b/>
                <w:sz w:val="22"/>
              </w:rPr>
              <w:t>W Longitude</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35° 15</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State/EEZ boundary</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22</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32° 56</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78° 57</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2</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35° 15</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75° 09</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23</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32° 44</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79° 04</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3</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35° 06</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75° 22</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24</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32° 42</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79° 13</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4</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35° 06</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75° 39</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25</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32° 34</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79° 23</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5</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35° 01</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75° 47</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26</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32° 25</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79° 25</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6</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34° 54</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75° 46</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27</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32° 23</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79° 37</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7</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34° 52</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76° 04</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28</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31° 53</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80° 09</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8</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34° 33</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76° 22</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29</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31° 15</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80° 59</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9</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34° 23</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76° 18</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30</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30° 56</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81° 05</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10</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34° 21</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76° 27</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31</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30° 42</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81° 07</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11</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34° 25</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76° 51</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32</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30° 15</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81° 05</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12</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34° 09</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77° 19</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33</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30° 15</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81° 17</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13</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33° 44</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77° 38</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34</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29° 40</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81° 07</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14</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33° 25</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77° 27</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35</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29° 08</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80° 51</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15</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33° 22</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77° 40</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36</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28° 36</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80° 28</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16</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33° 28</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77° 41</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37</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28° 26</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80° 25</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17</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33° 32</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77° 53</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38</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28° 20</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80° 31</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18</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33° 22</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78° 26</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39</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28° 11</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80° 30</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19</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33° 06</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78° 31</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40</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28° 00</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80° 25</w:t>
            </w:r>
            <w:r>
              <w:rPr>
                <w:rFonts w:ascii="Arial" w:hAnsi="Arial" w:cs="Arial"/>
                <w:sz w:val="22"/>
              </w:rPr>
              <w:t>’</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20</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33° 05</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78° 40</w:t>
            </w:r>
            <w:r>
              <w:rPr>
                <w:rFonts w:ascii="Arial" w:hAnsi="Arial" w:cs="Arial"/>
                <w:sz w:val="22"/>
              </w:rPr>
              <w:t>’</w:t>
            </w:r>
          </w:p>
        </w:tc>
        <w:tc>
          <w:tcPr>
            <w:tcW w:w="1002" w:type="dxa"/>
            <w:vAlign w:val="center"/>
          </w:tcPr>
          <w:p w:rsidR="00AF014F" w:rsidRPr="00C35DF7" w:rsidRDefault="00AF014F" w:rsidP="00AF014F">
            <w:pPr>
              <w:jc w:val="center"/>
              <w:rPr>
                <w:rFonts w:ascii="Arial" w:hAnsi="Arial" w:cs="Arial"/>
              </w:rPr>
            </w:pPr>
            <w:r w:rsidRPr="00C35DF7">
              <w:rPr>
                <w:rFonts w:ascii="Arial" w:hAnsi="Arial" w:cs="Arial"/>
                <w:sz w:val="22"/>
              </w:rPr>
              <w:t>41</w:t>
            </w:r>
          </w:p>
        </w:tc>
        <w:tc>
          <w:tcPr>
            <w:tcW w:w="1440" w:type="dxa"/>
            <w:vAlign w:val="center"/>
          </w:tcPr>
          <w:p w:rsidR="00AF014F" w:rsidRPr="00C35DF7" w:rsidRDefault="00AF014F" w:rsidP="00AF014F">
            <w:pPr>
              <w:jc w:val="center"/>
              <w:rPr>
                <w:rFonts w:ascii="Arial" w:hAnsi="Arial" w:cs="Arial"/>
              </w:rPr>
            </w:pPr>
            <w:r w:rsidRPr="00C35DF7">
              <w:rPr>
                <w:rFonts w:ascii="Arial" w:hAnsi="Arial" w:cs="Arial"/>
                <w:sz w:val="22"/>
              </w:rPr>
              <w:t>28° 00</w:t>
            </w:r>
            <w:r>
              <w:rPr>
                <w:rFonts w:ascii="Arial" w:hAnsi="Arial" w:cs="Arial"/>
                <w:sz w:val="22"/>
              </w:rPr>
              <w:t>’</w:t>
            </w:r>
          </w:p>
        </w:tc>
        <w:tc>
          <w:tcPr>
            <w:tcW w:w="2238" w:type="dxa"/>
            <w:vAlign w:val="center"/>
          </w:tcPr>
          <w:p w:rsidR="00AF014F" w:rsidRPr="00C35DF7" w:rsidRDefault="00AF014F" w:rsidP="00AF014F">
            <w:pPr>
              <w:jc w:val="center"/>
              <w:rPr>
                <w:rFonts w:ascii="Arial" w:hAnsi="Arial" w:cs="Arial"/>
              </w:rPr>
            </w:pPr>
            <w:r w:rsidRPr="00C35DF7">
              <w:rPr>
                <w:rFonts w:ascii="Arial" w:hAnsi="Arial" w:cs="Arial"/>
                <w:sz w:val="22"/>
              </w:rPr>
              <w:t>State/EEZ Boundary</w:t>
            </w:r>
          </w:p>
        </w:tc>
      </w:tr>
      <w:tr w:rsidR="00AF014F" w:rsidRPr="00DC71BC" w:rsidTr="00AF014F">
        <w:trPr>
          <w:trHeight w:val="332"/>
        </w:trPr>
        <w:tc>
          <w:tcPr>
            <w:tcW w:w="766" w:type="dxa"/>
            <w:vAlign w:val="center"/>
          </w:tcPr>
          <w:p w:rsidR="00AF014F" w:rsidRPr="00C35DF7" w:rsidRDefault="00AF014F" w:rsidP="00AF014F">
            <w:pPr>
              <w:jc w:val="center"/>
              <w:rPr>
                <w:rFonts w:ascii="Arial" w:hAnsi="Arial" w:cs="Arial"/>
              </w:rPr>
            </w:pPr>
            <w:r w:rsidRPr="00C35DF7">
              <w:rPr>
                <w:rFonts w:ascii="Arial" w:hAnsi="Arial" w:cs="Arial"/>
                <w:sz w:val="22"/>
              </w:rPr>
              <w:t>21</w:t>
            </w:r>
          </w:p>
        </w:tc>
        <w:tc>
          <w:tcPr>
            <w:tcW w:w="1506" w:type="dxa"/>
            <w:vAlign w:val="center"/>
          </w:tcPr>
          <w:p w:rsidR="00AF014F" w:rsidRPr="00C35DF7" w:rsidRDefault="00AF014F" w:rsidP="00AF014F">
            <w:pPr>
              <w:jc w:val="center"/>
              <w:rPr>
                <w:rFonts w:ascii="Arial" w:hAnsi="Arial" w:cs="Arial"/>
              </w:rPr>
            </w:pPr>
            <w:r w:rsidRPr="00C35DF7">
              <w:rPr>
                <w:rFonts w:ascii="Arial" w:hAnsi="Arial" w:cs="Arial"/>
                <w:sz w:val="22"/>
              </w:rPr>
              <w:t>33° 01</w:t>
            </w:r>
            <w:r>
              <w:rPr>
                <w:rFonts w:ascii="Arial" w:hAnsi="Arial" w:cs="Arial"/>
                <w:sz w:val="22"/>
              </w:rPr>
              <w:t>’</w:t>
            </w:r>
          </w:p>
        </w:tc>
        <w:tc>
          <w:tcPr>
            <w:tcW w:w="2246" w:type="dxa"/>
            <w:vAlign w:val="center"/>
          </w:tcPr>
          <w:p w:rsidR="00AF014F" w:rsidRPr="00C35DF7" w:rsidRDefault="00AF014F" w:rsidP="00AF014F">
            <w:pPr>
              <w:jc w:val="center"/>
              <w:rPr>
                <w:rFonts w:ascii="Arial" w:hAnsi="Arial" w:cs="Arial"/>
              </w:rPr>
            </w:pPr>
            <w:r w:rsidRPr="00C35DF7">
              <w:rPr>
                <w:rFonts w:ascii="Arial" w:hAnsi="Arial" w:cs="Arial"/>
                <w:sz w:val="22"/>
              </w:rPr>
              <w:t>78° 43</w:t>
            </w:r>
            <w:r>
              <w:rPr>
                <w:rFonts w:ascii="Arial" w:hAnsi="Arial" w:cs="Arial"/>
                <w:sz w:val="22"/>
              </w:rPr>
              <w:t>’</w:t>
            </w:r>
          </w:p>
        </w:tc>
        <w:tc>
          <w:tcPr>
            <w:tcW w:w="1002" w:type="dxa"/>
            <w:vAlign w:val="bottom"/>
          </w:tcPr>
          <w:p w:rsidR="00AF014F" w:rsidRPr="00C35DF7" w:rsidRDefault="00AF014F" w:rsidP="00AF014F">
            <w:pPr>
              <w:jc w:val="center"/>
              <w:rPr>
                <w:rFonts w:ascii="Arial" w:hAnsi="Arial" w:cs="Arial"/>
              </w:rPr>
            </w:pPr>
          </w:p>
        </w:tc>
        <w:tc>
          <w:tcPr>
            <w:tcW w:w="1440" w:type="dxa"/>
            <w:vAlign w:val="bottom"/>
          </w:tcPr>
          <w:p w:rsidR="00AF014F" w:rsidRPr="00C35DF7" w:rsidRDefault="00AF014F" w:rsidP="00AF014F">
            <w:pPr>
              <w:jc w:val="center"/>
              <w:rPr>
                <w:rFonts w:ascii="Arial" w:hAnsi="Arial" w:cs="Arial"/>
              </w:rPr>
            </w:pPr>
          </w:p>
        </w:tc>
        <w:tc>
          <w:tcPr>
            <w:tcW w:w="2238" w:type="dxa"/>
            <w:vAlign w:val="bottom"/>
          </w:tcPr>
          <w:p w:rsidR="00AF014F" w:rsidRPr="00C35DF7" w:rsidRDefault="00AF014F" w:rsidP="00AF014F">
            <w:pPr>
              <w:jc w:val="center"/>
              <w:rPr>
                <w:rFonts w:ascii="Arial" w:hAnsi="Arial" w:cs="Arial"/>
              </w:rPr>
            </w:pPr>
          </w:p>
        </w:tc>
      </w:tr>
    </w:tbl>
    <w:p w:rsidR="00AF014F" w:rsidRPr="00E34FB0" w:rsidRDefault="00AF014F" w:rsidP="00AF014F">
      <w:pPr>
        <w:tabs>
          <w:tab w:val="left" w:pos="5940"/>
        </w:tabs>
        <w:rPr>
          <w:sz w:val="20"/>
          <w:szCs w:val="20"/>
        </w:rPr>
      </w:pPr>
      <w:r w:rsidRPr="00E34FB0">
        <w:rPr>
          <w:iCs/>
          <w:sz w:val="20"/>
          <w:szCs w:val="20"/>
        </w:rPr>
        <w:t>Source: Amanda Frick, NMFS SERO</w:t>
      </w:r>
    </w:p>
    <w:p w:rsidR="00AF014F" w:rsidRPr="001C3CD3" w:rsidRDefault="00AF014F" w:rsidP="00AF014F">
      <w:pPr>
        <w:spacing w:line="276" w:lineRule="auto"/>
        <w:rPr>
          <w:rStyle w:val="Heading3Char"/>
          <w:rFonts w:eastAsiaTheme="minorHAnsi" w:cs="Times New Roman"/>
          <w:b w:val="0"/>
          <w:szCs w:val="24"/>
        </w:rPr>
      </w:pPr>
      <w:r>
        <w:rPr>
          <w:bCs/>
          <w:noProof/>
        </w:rPr>
        <w:lastRenderedPageBreak/>
        <w:drawing>
          <wp:inline distT="0" distB="0" distL="0" distR="0">
            <wp:extent cx="5943600" cy="736536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7new.png"/>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7365365"/>
                    </a:xfrm>
                    <a:prstGeom prst="rect">
                      <a:avLst/>
                    </a:prstGeom>
                  </pic:spPr>
                </pic:pic>
              </a:graphicData>
            </a:graphic>
          </wp:inline>
        </w:drawing>
      </w:r>
    </w:p>
    <w:p w:rsidR="00AF014F" w:rsidRPr="00E34FB0" w:rsidRDefault="00AF014F" w:rsidP="00AF014F">
      <w:pPr>
        <w:pStyle w:val="Figuretitle"/>
        <w:rPr>
          <w:rFonts w:ascii="Arial" w:hAnsi="Arial" w:cs="Arial"/>
          <w:b/>
          <w:sz w:val="20"/>
          <w:szCs w:val="20"/>
        </w:rPr>
      </w:pPr>
      <w:bookmarkStart w:id="10" w:name="_Toc302115351"/>
      <w:proofErr w:type="gramStart"/>
      <w:r w:rsidRPr="00E34FB0">
        <w:rPr>
          <w:rFonts w:ascii="Arial" w:hAnsi="Arial" w:cs="Arial"/>
          <w:b/>
          <w:sz w:val="20"/>
          <w:szCs w:val="20"/>
        </w:rPr>
        <w:t>Figure 2.1.6</w:t>
      </w:r>
      <w:r w:rsidRPr="00E34FB0">
        <w:rPr>
          <w:rFonts w:ascii="Arial" w:hAnsi="Arial" w:cs="Arial"/>
          <w:sz w:val="20"/>
          <w:szCs w:val="20"/>
        </w:rPr>
        <w:t>.</w:t>
      </w:r>
      <w:proofErr w:type="gramEnd"/>
      <w:r w:rsidRPr="00E34FB0">
        <w:rPr>
          <w:rFonts w:ascii="Arial" w:hAnsi="Arial" w:cs="Arial"/>
          <w:sz w:val="20"/>
          <w:szCs w:val="20"/>
        </w:rPr>
        <w:t xml:space="preserve">  </w:t>
      </w:r>
      <w:proofErr w:type="gramStart"/>
      <w:r w:rsidRPr="00E34FB0">
        <w:rPr>
          <w:rFonts w:ascii="Arial" w:hAnsi="Arial" w:cs="Arial"/>
          <w:sz w:val="20"/>
          <w:szCs w:val="20"/>
        </w:rPr>
        <w:t>Area for the proposed black sea bass pot closure</w:t>
      </w:r>
      <w:r w:rsidR="000242E5" w:rsidRPr="00E34FB0">
        <w:rPr>
          <w:rFonts w:ascii="Arial" w:hAnsi="Arial" w:cs="Arial"/>
          <w:sz w:val="20"/>
          <w:szCs w:val="20"/>
        </w:rPr>
        <w:fldChar w:fldCharType="begin"/>
      </w:r>
      <w:r w:rsidRPr="00E34FB0">
        <w:rPr>
          <w:rFonts w:ascii="Arial" w:hAnsi="Arial" w:cs="Arial"/>
          <w:sz w:val="20"/>
          <w:szCs w:val="20"/>
        </w:rPr>
        <w:instrText xml:space="preserve"> XE "</w:instrText>
      </w:r>
      <w:r w:rsidRPr="00E34FB0">
        <w:rPr>
          <w:rStyle w:val="FiguretitleChar1"/>
          <w:rFonts w:ascii="Arial" w:eastAsiaTheme="minorHAnsi" w:hAnsi="Arial" w:cs="Arial"/>
          <w:sz w:val="20"/>
          <w:szCs w:val="20"/>
        </w:rPr>
        <w:instrText>black sea bass pot closure</w:instrText>
      </w:r>
      <w:r w:rsidRPr="00E34FB0">
        <w:rPr>
          <w:rFonts w:ascii="Arial" w:hAnsi="Arial" w:cs="Arial"/>
          <w:sz w:val="20"/>
          <w:szCs w:val="20"/>
        </w:rPr>
        <w:instrText xml:space="preserve">" </w:instrText>
      </w:r>
      <w:r w:rsidR="000242E5" w:rsidRPr="00E34FB0">
        <w:rPr>
          <w:rFonts w:ascii="Arial" w:hAnsi="Arial" w:cs="Arial"/>
          <w:sz w:val="20"/>
          <w:szCs w:val="20"/>
        </w:rPr>
        <w:fldChar w:fldCharType="end"/>
      </w:r>
      <w:r w:rsidRPr="00E34FB0">
        <w:rPr>
          <w:rFonts w:ascii="Arial" w:hAnsi="Arial" w:cs="Arial"/>
          <w:sz w:val="20"/>
          <w:szCs w:val="20"/>
        </w:rPr>
        <w:t xml:space="preserve"> in </w:t>
      </w:r>
      <w:r w:rsidRPr="00EA0472">
        <w:rPr>
          <w:rFonts w:ascii="Arial" w:hAnsi="Arial" w:cs="Arial"/>
          <w:b/>
          <w:sz w:val="20"/>
          <w:szCs w:val="20"/>
        </w:rPr>
        <w:t>Alternative 7</w:t>
      </w:r>
      <w:r w:rsidRPr="00E34FB0">
        <w:rPr>
          <w:rFonts w:ascii="Arial" w:hAnsi="Arial" w:cs="Arial"/>
          <w:sz w:val="20"/>
          <w:szCs w:val="20"/>
        </w:rPr>
        <w:t>.</w:t>
      </w:r>
      <w:bookmarkEnd w:id="10"/>
      <w:proofErr w:type="gramEnd"/>
      <w:r w:rsidRPr="00E34FB0">
        <w:rPr>
          <w:rFonts w:ascii="Arial" w:hAnsi="Arial" w:cs="Arial"/>
          <w:sz w:val="20"/>
          <w:szCs w:val="20"/>
        </w:rPr>
        <w:t xml:space="preserve"> </w:t>
      </w:r>
    </w:p>
    <w:p w:rsidR="00AF014F" w:rsidRPr="00E34FB0" w:rsidRDefault="00AF014F" w:rsidP="00AF014F">
      <w:pPr>
        <w:rPr>
          <w:rStyle w:val="Heading3Char"/>
          <w:rFonts w:eastAsiaTheme="minorHAnsi" w:cs="Times New Roman"/>
          <w:b w:val="0"/>
          <w:bCs w:val="0"/>
          <w:sz w:val="20"/>
          <w:szCs w:val="20"/>
        </w:rPr>
      </w:pPr>
      <w:r w:rsidRPr="00E34FB0">
        <w:rPr>
          <w:sz w:val="20"/>
          <w:szCs w:val="20"/>
        </w:rPr>
        <w:t>Source: Amanda Frick, NMFS SERO</w:t>
      </w:r>
      <w:r w:rsidRPr="00E34FB0">
        <w:rPr>
          <w:rStyle w:val="Heading3Char"/>
          <w:rFonts w:eastAsiaTheme="minorHAnsi"/>
          <w:color w:val="8DB3E2"/>
          <w:sz w:val="20"/>
          <w:szCs w:val="20"/>
        </w:rPr>
        <w:br w:type="page"/>
      </w:r>
    </w:p>
    <w:p w:rsidR="00AF014F" w:rsidRDefault="00AF014F" w:rsidP="00AF014F">
      <w:r>
        <w:rPr>
          <w:b/>
        </w:rPr>
        <w:lastRenderedPageBreak/>
        <w:t xml:space="preserve">Alternative </w:t>
      </w:r>
      <w:proofErr w:type="gramStart"/>
      <w:r>
        <w:rPr>
          <w:b/>
        </w:rPr>
        <w:t>8</w:t>
      </w:r>
      <w:r w:rsidRPr="00680311">
        <w:rPr>
          <w:b/>
        </w:rPr>
        <w:t xml:space="preserve"> </w:t>
      </w:r>
      <w:r>
        <w:rPr>
          <w:b/>
        </w:rPr>
        <w:t>.</w:t>
      </w:r>
      <w:proofErr w:type="gramEnd"/>
      <w:r>
        <w:rPr>
          <w:b/>
        </w:rPr>
        <w:t xml:space="preserve"> </w:t>
      </w:r>
      <w:r w:rsidRPr="00680311">
        <w:t xml:space="preserve"> 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rsidRPr="00680311">
        <w:t xml:space="preserve"> applies to waters inshore of points 1-35 listed below </w:t>
      </w:r>
      <w:r w:rsidRPr="00A57698">
        <w:rPr>
          <w:b/>
        </w:rPr>
        <w:t xml:space="preserve">(Table </w:t>
      </w:r>
      <w:r>
        <w:rPr>
          <w:b/>
        </w:rPr>
        <w:t>2.1.6</w:t>
      </w:r>
      <w:r w:rsidRPr="00A57698">
        <w:rPr>
          <w:b/>
        </w:rPr>
        <w:t>)</w:t>
      </w:r>
      <w:r>
        <w:t>;</w:t>
      </w:r>
      <w:r w:rsidRPr="00680311">
        <w:t xml:space="preserve"> </w:t>
      </w:r>
      <w:r w:rsidRPr="009E7364">
        <w:t>approximately</w:t>
      </w:r>
      <w:r>
        <w:t xml:space="preserve"> Daytona Beach</w:t>
      </w:r>
      <w:r w:rsidRPr="00680311">
        <w:t>, Florida, to Cape Hatteras, North Carolina</w:t>
      </w:r>
      <w:r>
        <w:t xml:space="preserve"> </w:t>
      </w:r>
      <w:r>
        <w:rPr>
          <w:b/>
        </w:rPr>
        <w:t>(Figure</w:t>
      </w:r>
      <w:r w:rsidRPr="00A57698">
        <w:rPr>
          <w:b/>
        </w:rPr>
        <w:t xml:space="preserve"> 2.1.7)</w:t>
      </w:r>
      <w:r w:rsidRPr="00680311">
        <w:t xml:space="preserve">. </w:t>
      </w:r>
    </w:p>
    <w:p w:rsidR="00AF014F" w:rsidRPr="00680311" w:rsidRDefault="00AF014F" w:rsidP="00AF014F"/>
    <w:p w:rsidR="00AF014F" w:rsidRPr="003A06F9" w:rsidRDefault="00AF014F" w:rsidP="00AF014F">
      <w:pPr>
        <w:ind w:left="720"/>
        <w:rPr>
          <w:rStyle w:val="Heading3Char"/>
          <w:rFonts w:ascii="Times New Roman" w:eastAsiaTheme="minorHAnsi" w:hAnsi="Times New Roman" w:cs="Times New Roman"/>
          <w:b w:val="0"/>
          <w:szCs w:val="24"/>
        </w:rPr>
      </w:pPr>
      <w:proofErr w:type="gramStart"/>
      <w:r w:rsidRPr="003A06F9">
        <w:rPr>
          <w:rFonts w:cs="Times New Roman"/>
          <w:b/>
        </w:rPr>
        <w:t>Sub-alternative 8a.</w:t>
      </w:r>
      <w:proofErr w:type="gramEnd"/>
      <w:r w:rsidRPr="003A06F9">
        <w:rPr>
          <w:rFonts w:cs="Times New Roman"/>
          <w:b/>
        </w:rPr>
        <w:t xml:space="preserve">  </w:t>
      </w:r>
      <w:r w:rsidRPr="003A06F9">
        <w:rPr>
          <w:rStyle w:val="Heading3Char"/>
          <w:rFonts w:ascii="Times New Roman" w:eastAsiaTheme="minorHAnsi" w:hAnsi="Times New Roman" w:cs="Times New Roman"/>
          <w:b w:val="0"/>
          <w:szCs w:val="24"/>
        </w:rPr>
        <w:t>The black sea bass pot closure</w:t>
      </w:r>
      <w:r w:rsidR="000242E5" w:rsidRPr="003A06F9">
        <w:rPr>
          <w:rStyle w:val="Heading3Char"/>
          <w:rFonts w:ascii="Times New Roman" w:eastAsiaTheme="minorHAnsi" w:hAnsi="Times New Roman" w:cs="Times New Roman"/>
          <w:b w:val="0"/>
          <w:szCs w:val="24"/>
        </w:rPr>
        <w:fldChar w:fldCharType="begin"/>
      </w:r>
      <w:r w:rsidRPr="003A06F9">
        <w:rPr>
          <w:rFonts w:cs="Times New Roman"/>
        </w:rPr>
        <w:instrText xml:space="preserve"> XE "</w:instrText>
      </w:r>
      <w:r w:rsidRPr="003A06F9">
        <w:rPr>
          <w:rStyle w:val="FiguretitleChar1"/>
          <w:rFonts w:eastAsiaTheme="minorHAnsi"/>
        </w:rPr>
        <w:instrText>black sea bass pot closure</w:instrText>
      </w:r>
      <w:r w:rsidRPr="003A06F9">
        <w:rPr>
          <w:rFonts w:cs="Times New Roman"/>
        </w:rPr>
        <w:instrText xml:space="preserve">" </w:instrText>
      </w:r>
      <w:r w:rsidR="000242E5" w:rsidRPr="003A06F9">
        <w:rPr>
          <w:rStyle w:val="Heading3Char"/>
          <w:rFonts w:ascii="Times New Roman" w:eastAsiaTheme="minorHAnsi" w:hAnsi="Times New Roman" w:cs="Times New Roman"/>
          <w:b w:val="0"/>
          <w:szCs w:val="24"/>
        </w:rPr>
        <w:fldChar w:fldCharType="end"/>
      </w:r>
      <w:r w:rsidRPr="003A06F9">
        <w:rPr>
          <w:rStyle w:val="Heading3Char"/>
          <w:rFonts w:ascii="Times New Roman" w:eastAsiaTheme="minorHAnsi" w:hAnsi="Times New Roman" w:cs="Times New Roman"/>
          <w:b w:val="0"/>
          <w:szCs w:val="24"/>
        </w:rPr>
        <w:t xml:space="preserve"> applies to the area annually from November 1 through April 15.</w:t>
      </w:r>
    </w:p>
    <w:p w:rsidR="00AF014F" w:rsidRPr="003A06F9" w:rsidRDefault="00AF014F" w:rsidP="00AF014F">
      <w:pPr>
        <w:ind w:left="720"/>
        <w:rPr>
          <w:rFonts w:cs="Times New Roman"/>
          <w:b/>
          <w:bCs/>
        </w:rPr>
      </w:pPr>
    </w:p>
    <w:p w:rsidR="00AF014F" w:rsidRPr="003A06F9" w:rsidRDefault="00AF014F" w:rsidP="00AF014F">
      <w:pPr>
        <w:ind w:left="720"/>
        <w:rPr>
          <w:rStyle w:val="Heading3Char"/>
          <w:rFonts w:ascii="Times New Roman" w:eastAsiaTheme="minorHAnsi" w:hAnsi="Times New Roman" w:cs="Times New Roman"/>
          <w:b w:val="0"/>
          <w:szCs w:val="24"/>
        </w:rPr>
      </w:pPr>
      <w:proofErr w:type="gramStart"/>
      <w:r w:rsidRPr="003A06F9">
        <w:rPr>
          <w:rFonts w:cs="Times New Roman"/>
          <w:b/>
        </w:rPr>
        <w:t>Sub-alternative 8b.</w:t>
      </w:r>
      <w:proofErr w:type="gramEnd"/>
      <w:r w:rsidRPr="003A06F9">
        <w:rPr>
          <w:rFonts w:cs="Times New Roman"/>
          <w:b/>
        </w:rPr>
        <w:t xml:space="preserve"> </w:t>
      </w:r>
      <w:r w:rsidRPr="003A06F9">
        <w:rPr>
          <w:rFonts w:cs="Times New Roman"/>
        </w:rPr>
        <w:t>For the area off North Carolina and South Carolina,</w:t>
      </w:r>
      <w:r w:rsidRPr="003A06F9">
        <w:rPr>
          <w:rFonts w:cs="Times New Roman"/>
          <w:b/>
        </w:rPr>
        <w:t xml:space="preserve"> </w:t>
      </w:r>
      <w:r w:rsidRPr="003A06F9">
        <w:rPr>
          <w:rStyle w:val="Heading3Char"/>
          <w:rFonts w:ascii="Times New Roman" w:eastAsiaTheme="minorHAnsi" w:hAnsi="Times New Roman" w:cs="Times New Roman"/>
          <w:b w:val="0"/>
          <w:szCs w:val="24"/>
        </w:rPr>
        <w:t>the black sea bass pot closure</w:t>
      </w:r>
      <w:r w:rsidR="000242E5" w:rsidRPr="003A06F9">
        <w:rPr>
          <w:rStyle w:val="Heading3Char"/>
          <w:rFonts w:ascii="Times New Roman" w:eastAsiaTheme="minorHAnsi" w:hAnsi="Times New Roman" w:cs="Times New Roman"/>
          <w:b w:val="0"/>
          <w:szCs w:val="24"/>
        </w:rPr>
        <w:fldChar w:fldCharType="begin"/>
      </w:r>
      <w:r w:rsidRPr="003A06F9">
        <w:rPr>
          <w:rFonts w:cs="Times New Roman"/>
        </w:rPr>
        <w:instrText xml:space="preserve"> XE "</w:instrText>
      </w:r>
      <w:r w:rsidRPr="003A06F9">
        <w:rPr>
          <w:rStyle w:val="FiguretitleChar1"/>
          <w:rFonts w:eastAsiaTheme="minorHAnsi"/>
        </w:rPr>
        <w:instrText>black sea bass pot closure</w:instrText>
      </w:r>
      <w:r w:rsidRPr="003A06F9">
        <w:rPr>
          <w:rFonts w:cs="Times New Roman"/>
        </w:rPr>
        <w:instrText xml:space="preserve">" </w:instrText>
      </w:r>
      <w:r w:rsidR="000242E5" w:rsidRPr="003A06F9">
        <w:rPr>
          <w:rStyle w:val="Heading3Char"/>
          <w:rFonts w:ascii="Times New Roman" w:eastAsiaTheme="minorHAnsi" w:hAnsi="Times New Roman" w:cs="Times New Roman"/>
          <w:b w:val="0"/>
          <w:szCs w:val="24"/>
        </w:rPr>
        <w:fldChar w:fldCharType="end"/>
      </w:r>
      <w:r w:rsidRPr="003A06F9">
        <w:rPr>
          <w:rStyle w:val="Heading3Char"/>
          <w:rFonts w:ascii="Times New Roman" w:eastAsiaTheme="minorHAnsi" w:hAnsi="Times New Roman" w:cs="Times New Roman"/>
          <w:b w:val="0"/>
          <w:szCs w:val="24"/>
        </w:rPr>
        <w:t xml:space="preserve"> applies annually from November 1 through December 15 and February 15 through April 30.  For the area off Georgia and Florida, the black sea bass pot closure applies annually from November 15 through April 15.</w:t>
      </w:r>
    </w:p>
    <w:p w:rsidR="00AF014F" w:rsidRPr="003A06F9" w:rsidRDefault="00AF014F" w:rsidP="00AF014F">
      <w:pPr>
        <w:ind w:left="720"/>
        <w:rPr>
          <w:rFonts w:cs="Times New Roman"/>
          <w:b/>
        </w:rPr>
      </w:pPr>
    </w:p>
    <w:p w:rsidR="00AF014F" w:rsidRDefault="00AF014F" w:rsidP="00AF014F">
      <w:r>
        <w:t xml:space="preserve">In </w:t>
      </w:r>
      <w:r w:rsidRPr="00A206B4">
        <w:rPr>
          <w:b/>
        </w:rPr>
        <w:t>Alternative 8</w:t>
      </w:r>
      <w:r>
        <w:t xml:space="preserve">, the boundaries </w:t>
      </w:r>
      <w:proofErr w:type="spellStart"/>
      <w:r>
        <w:t>off</w:t>
      </w:r>
      <w:proofErr w:type="spellEnd"/>
      <w:r>
        <w:t xml:space="preserve"> Florida and Georgia are identical to the boundaries in </w:t>
      </w:r>
      <w:r w:rsidRPr="00A206B4">
        <w:rPr>
          <w:b/>
        </w:rPr>
        <w:t>Alternative 5</w:t>
      </w:r>
      <w:r>
        <w:t>.  Off North Carolina and South Carolina, 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t xml:space="preserve"> applies in the exclusive economic zone in waters shallower than </w:t>
      </w:r>
      <w:r w:rsidRPr="000E1342">
        <w:t>25 meters</w:t>
      </w:r>
      <w:r>
        <w:t>.</w:t>
      </w:r>
    </w:p>
    <w:p w:rsidR="00AF014F" w:rsidRDefault="00AF014F" w:rsidP="00AF014F"/>
    <w:p w:rsidR="00AF014F" w:rsidRDefault="00AF014F" w:rsidP="00AF014F">
      <w:r w:rsidRPr="005F0978">
        <w:t xml:space="preserve">Note: </w:t>
      </w:r>
      <w:r w:rsidRPr="00680311">
        <w:t>Federal regulations would only apply to that portion of the area within the South Atlantic EEZ</w:t>
      </w:r>
      <w:r w:rsidR="000242E5">
        <w:fldChar w:fldCharType="begin"/>
      </w:r>
      <w:r>
        <w:instrText xml:space="preserve"> XE "</w:instrText>
      </w:r>
      <w:r w:rsidRPr="000E2ACD">
        <w:instrText>South Atlantic EEZ</w:instrText>
      </w:r>
      <w:r>
        <w:instrText xml:space="preserve">" </w:instrText>
      </w:r>
      <w:r w:rsidR="000242E5">
        <w:fldChar w:fldCharType="end"/>
      </w:r>
      <w:r w:rsidRPr="00680311">
        <w:t>. The states will be asked to implement compatible regulations for the portion of the area within state waters.</w:t>
      </w:r>
    </w:p>
    <w:p w:rsidR="00AF014F" w:rsidRPr="00680311" w:rsidRDefault="00AF014F" w:rsidP="00AF014F"/>
    <w:p w:rsidR="00AF014F" w:rsidRPr="00680311" w:rsidRDefault="00AF014F" w:rsidP="00AF014F">
      <w:pPr>
        <w:autoSpaceDE w:val="0"/>
        <w:autoSpaceDN w:val="0"/>
        <w:adjustRightInd w:val="0"/>
      </w:pPr>
    </w:p>
    <w:p w:rsidR="00AF014F" w:rsidRPr="00E34FB0" w:rsidRDefault="00AF014F" w:rsidP="00AF014F">
      <w:pPr>
        <w:pStyle w:val="Tabletitle"/>
      </w:pPr>
      <w:bookmarkStart w:id="11" w:name="_Toc302115475"/>
      <w:proofErr w:type="gramStart"/>
      <w:r w:rsidRPr="00E34FB0">
        <w:t>Table 2.1.6.</w:t>
      </w:r>
      <w:proofErr w:type="gramEnd"/>
      <w:r w:rsidRPr="00E34FB0">
        <w:t xml:space="preserve">  </w:t>
      </w:r>
      <w:r w:rsidRPr="00E34FB0">
        <w:rPr>
          <w:b w:val="0"/>
        </w:rPr>
        <w:t>Eastern boundary coordinates for the proposed black sea bass pot closure</w:t>
      </w:r>
      <w:r w:rsidR="000242E5" w:rsidRPr="00E34FB0">
        <w:rPr>
          <w:b w:val="0"/>
        </w:rPr>
        <w:fldChar w:fldCharType="begin"/>
      </w:r>
      <w:r w:rsidRPr="00E34FB0">
        <w:rPr>
          <w:b w:val="0"/>
        </w:rPr>
        <w:instrText xml:space="preserve"> XE "</w:instrText>
      </w:r>
      <w:r w:rsidRPr="00E34FB0">
        <w:rPr>
          <w:rStyle w:val="FiguretitleChar1"/>
          <w:rFonts w:eastAsiaTheme="minorHAnsi"/>
          <w:b w:val="0"/>
          <w:sz w:val="20"/>
          <w:szCs w:val="20"/>
        </w:rPr>
        <w:instrText>black sea bass pot closure</w:instrText>
      </w:r>
      <w:r w:rsidRPr="00E34FB0">
        <w:rPr>
          <w:b w:val="0"/>
        </w:rPr>
        <w:instrText xml:space="preserve">" </w:instrText>
      </w:r>
      <w:r w:rsidR="000242E5" w:rsidRPr="00E34FB0">
        <w:rPr>
          <w:b w:val="0"/>
        </w:rPr>
        <w:fldChar w:fldCharType="end"/>
      </w:r>
      <w:r w:rsidRPr="00E34FB0">
        <w:rPr>
          <w:b w:val="0"/>
        </w:rPr>
        <w:t xml:space="preserve"> in </w:t>
      </w:r>
      <w:r w:rsidRPr="00EA0472">
        <w:t>Alternative 8</w:t>
      </w:r>
      <w:r w:rsidRPr="00E34FB0">
        <w:rPr>
          <w:b w:val="0"/>
        </w:rPr>
        <w:t>.</w:t>
      </w:r>
      <w:bookmarkEnd w:id="11"/>
    </w:p>
    <w:tbl>
      <w:tblPr>
        <w:tblStyle w:val="TableGrid"/>
        <w:tblW w:w="0" w:type="auto"/>
        <w:tblLook w:val="04A0"/>
      </w:tblPr>
      <w:tblGrid>
        <w:gridCol w:w="767"/>
        <w:gridCol w:w="1443"/>
        <w:gridCol w:w="2230"/>
        <w:gridCol w:w="939"/>
        <w:gridCol w:w="1440"/>
        <w:gridCol w:w="2289"/>
      </w:tblGrid>
      <w:tr w:rsidR="00AF014F" w:rsidRPr="00030CE6" w:rsidTr="00AF014F">
        <w:tc>
          <w:tcPr>
            <w:tcW w:w="767" w:type="dxa"/>
            <w:shd w:val="clear" w:color="auto" w:fill="D9D9D9" w:themeFill="background1" w:themeFillShade="D9"/>
          </w:tcPr>
          <w:p w:rsidR="00AF014F" w:rsidRPr="00C35DF7" w:rsidRDefault="00AF014F" w:rsidP="00AF014F">
            <w:pPr>
              <w:jc w:val="center"/>
              <w:rPr>
                <w:rFonts w:ascii="Arial" w:hAnsi="Arial" w:cs="Arial"/>
                <w:b/>
              </w:rPr>
            </w:pPr>
            <w:r w:rsidRPr="00C35DF7">
              <w:rPr>
                <w:rFonts w:ascii="Arial" w:hAnsi="Arial" w:cs="Arial"/>
                <w:b/>
                <w:sz w:val="22"/>
              </w:rPr>
              <w:t>Point</w:t>
            </w:r>
          </w:p>
        </w:tc>
        <w:tc>
          <w:tcPr>
            <w:tcW w:w="1443" w:type="dxa"/>
            <w:shd w:val="clear" w:color="auto" w:fill="D9D9D9" w:themeFill="background1" w:themeFillShade="D9"/>
          </w:tcPr>
          <w:p w:rsidR="00AF014F" w:rsidRPr="00C35DF7" w:rsidRDefault="00AF014F" w:rsidP="00AF014F">
            <w:pPr>
              <w:jc w:val="center"/>
              <w:rPr>
                <w:rFonts w:ascii="Arial" w:hAnsi="Arial" w:cs="Arial"/>
                <w:b/>
              </w:rPr>
            </w:pPr>
            <w:r w:rsidRPr="00C35DF7">
              <w:rPr>
                <w:rFonts w:ascii="Arial" w:hAnsi="Arial" w:cs="Arial"/>
                <w:b/>
                <w:sz w:val="22"/>
              </w:rPr>
              <w:t>N Latitude</w:t>
            </w:r>
          </w:p>
        </w:tc>
        <w:tc>
          <w:tcPr>
            <w:tcW w:w="2230" w:type="dxa"/>
            <w:shd w:val="clear" w:color="auto" w:fill="D9D9D9" w:themeFill="background1" w:themeFillShade="D9"/>
          </w:tcPr>
          <w:p w:rsidR="00AF014F" w:rsidRPr="00C35DF7" w:rsidRDefault="00AF014F" w:rsidP="00AF014F">
            <w:pPr>
              <w:jc w:val="center"/>
              <w:rPr>
                <w:rFonts w:ascii="Arial" w:hAnsi="Arial" w:cs="Arial"/>
                <w:b/>
              </w:rPr>
            </w:pPr>
            <w:r w:rsidRPr="00C35DF7">
              <w:rPr>
                <w:rFonts w:ascii="Arial" w:hAnsi="Arial" w:cs="Arial"/>
                <w:b/>
                <w:sz w:val="22"/>
              </w:rPr>
              <w:t>W Longitude</w:t>
            </w:r>
          </w:p>
        </w:tc>
        <w:tc>
          <w:tcPr>
            <w:tcW w:w="939" w:type="dxa"/>
            <w:shd w:val="clear" w:color="auto" w:fill="D9D9D9" w:themeFill="background1" w:themeFillShade="D9"/>
          </w:tcPr>
          <w:p w:rsidR="00AF014F" w:rsidRPr="00C35DF7" w:rsidRDefault="00AF014F" w:rsidP="00AF014F">
            <w:pPr>
              <w:jc w:val="center"/>
              <w:rPr>
                <w:rFonts w:ascii="Arial" w:hAnsi="Arial" w:cs="Arial"/>
                <w:b/>
              </w:rPr>
            </w:pPr>
            <w:r w:rsidRPr="00C35DF7">
              <w:rPr>
                <w:rFonts w:ascii="Arial" w:hAnsi="Arial" w:cs="Arial"/>
                <w:b/>
                <w:sz w:val="22"/>
              </w:rPr>
              <w:t>Point</w:t>
            </w:r>
          </w:p>
        </w:tc>
        <w:tc>
          <w:tcPr>
            <w:tcW w:w="1440" w:type="dxa"/>
            <w:shd w:val="clear" w:color="auto" w:fill="D9D9D9" w:themeFill="background1" w:themeFillShade="D9"/>
          </w:tcPr>
          <w:p w:rsidR="00AF014F" w:rsidRPr="00C35DF7" w:rsidRDefault="00AF014F" w:rsidP="00AF014F">
            <w:pPr>
              <w:jc w:val="center"/>
              <w:rPr>
                <w:rFonts w:ascii="Arial" w:hAnsi="Arial" w:cs="Arial"/>
                <w:b/>
              </w:rPr>
            </w:pPr>
            <w:r w:rsidRPr="00C35DF7">
              <w:rPr>
                <w:rFonts w:ascii="Arial" w:hAnsi="Arial" w:cs="Arial"/>
                <w:b/>
                <w:sz w:val="22"/>
              </w:rPr>
              <w:t>N Latitude</w:t>
            </w:r>
          </w:p>
        </w:tc>
        <w:tc>
          <w:tcPr>
            <w:tcW w:w="2289" w:type="dxa"/>
            <w:shd w:val="clear" w:color="auto" w:fill="D9D9D9" w:themeFill="background1" w:themeFillShade="D9"/>
          </w:tcPr>
          <w:p w:rsidR="00AF014F" w:rsidRPr="00C35DF7" w:rsidRDefault="00AF014F" w:rsidP="00AF014F">
            <w:pPr>
              <w:jc w:val="center"/>
              <w:rPr>
                <w:rFonts w:ascii="Arial" w:hAnsi="Arial" w:cs="Arial"/>
                <w:b/>
              </w:rPr>
            </w:pPr>
            <w:r w:rsidRPr="00C35DF7">
              <w:rPr>
                <w:rFonts w:ascii="Arial" w:hAnsi="Arial" w:cs="Arial"/>
                <w:b/>
                <w:sz w:val="22"/>
              </w:rPr>
              <w:t>W Longitude</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1</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35° 15</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State/EEZ Boundary</w:t>
            </w:r>
          </w:p>
        </w:tc>
        <w:tc>
          <w:tcPr>
            <w:tcW w:w="939" w:type="dxa"/>
          </w:tcPr>
          <w:p w:rsidR="00AF014F" w:rsidRDefault="00AF014F" w:rsidP="00AF014F">
            <w:pPr>
              <w:jc w:val="center"/>
              <w:rPr>
                <w:rFonts w:ascii="Arial" w:hAnsi="Arial" w:cs="Arial"/>
              </w:rPr>
            </w:pPr>
            <w:r w:rsidRPr="00C35DF7">
              <w:rPr>
                <w:rFonts w:ascii="Arial" w:hAnsi="Arial" w:cs="Arial"/>
                <w:sz w:val="22"/>
              </w:rPr>
              <w:t>19</w:t>
            </w:r>
          </w:p>
        </w:tc>
        <w:tc>
          <w:tcPr>
            <w:tcW w:w="1440" w:type="dxa"/>
          </w:tcPr>
          <w:p w:rsidR="00AF014F" w:rsidRDefault="00AF014F" w:rsidP="00AF014F">
            <w:pPr>
              <w:jc w:val="center"/>
              <w:rPr>
                <w:rFonts w:ascii="Arial" w:hAnsi="Arial" w:cs="Arial"/>
              </w:rPr>
            </w:pPr>
            <w:r w:rsidRPr="00C35DF7">
              <w:rPr>
                <w:rFonts w:ascii="Arial" w:hAnsi="Arial" w:cs="Arial"/>
                <w:sz w:val="22"/>
              </w:rPr>
              <w:t>33° 06</w:t>
            </w:r>
            <w:r>
              <w:rPr>
                <w:rFonts w:ascii="Arial" w:hAnsi="Arial" w:cs="Arial"/>
                <w:sz w:val="22"/>
              </w:rPr>
              <w:t>’</w:t>
            </w:r>
          </w:p>
        </w:tc>
        <w:tc>
          <w:tcPr>
            <w:tcW w:w="2289" w:type="dxa"/>
          </w:tcPr>
          <w:p w:rsidR="00AF014F" w:rsidRDefault="00AF014F" w:rsidP="00AF014F">
            <w:pPr>
              <w:jc w:val="center"/>
              <w:rPr>
                <w:rFonts w:ascii="Arial" w:hAnsi="Arial" w:cs="Arial"/>
              </w:rPr>
            </w:pPr>
            <w:r w:rsidRPr="00C35DF7">
              <w:rPr>
                <w:rFonts w:ascii="Arial" w:hAnsi="Arial" w:cs="Arial"/>
                <w:sz w:val="22"/>
              </w:rPr>
              <w:t>78° 31</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2</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35° 15</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75° 09</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20</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33° 05</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78° 40</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3</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35° 06</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75° 22</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21</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33° 01</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78° 43</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4</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35° 06</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75° 39</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22</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32° 56</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78° 57</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5</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35° 01</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75° 47</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23</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32° 44</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79° 04</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6</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34° 54</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75° 46</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24</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32° 42</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79° 13</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7</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34° 52</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76° 04</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25</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32° 34</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79° 23</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8</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34° 33</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76° 22</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26</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32° 25</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79° 25</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9</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34° 23</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76° 18</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27</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32° 23</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79° 37</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10</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34° 21</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76° 27</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28</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31° 53</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80° 09</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11</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34° 25</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76° 51</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29</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31º 31</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80º 33</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12</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34° 09</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77° 19</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30</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30º 43</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80º 49</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13</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33° 44</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77° 38</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31</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30º 30</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81º 01</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14</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33° 25</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77° 27</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32</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29º 45</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81º 01</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15</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33° 22</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77° 40</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33</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29º 31</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80º 58</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16</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33° 28</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77° 41</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34</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29º 13</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80º 52</w:t>
            </w:r>
            <w:r>
              <w:rPr>
                <w:rFonts w:ascii="Arial" w:hAnsi="Arial" w:cs="Arial"/>
                <w:sz w:val="22"/>
              </w:rPr>
              <w:t>’</w:t>
            </w:r>
          </w:p>
        </w:tc>
      </w:tr>
      <w:tr w:rsidR="00AF014F" w:rsidRPr="001134EC" w:rsidTr="00AF014F">
        <w:tc>
          <w:tcPr>
            <w:tcW w:w="767" w:type="dxa"/>
          </w:tcPr>
          <w:p w:rsidR="00AF014F" w:rsidRPr="00C35DF7" w:rsidRDefault="00AF014F" w:rsidP="00AF014F">
            <w:pPr>
              <w:jc w:val="center"/>
              <w:rPr>
                <w:rFonts w:ascii="Arial" w:hAnsi="Arial" w:cs="Arial"/>
              </w:rPr>
            </w:pPr>
            <w:r w:rsidRPr="00C35DF7">
              <w:rPr>
                <w:rFonts w:ascii="Arial" w:hAnsi="Arial" w:cs="Arial"/>
                <w:sz w:val="22"/>
              </w:rPr>
              <w:t>17</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33° 32</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77° 53</w:t>
            </w:r>
            <w:r>
              <w:rPr>
                <w:rFonts w:ascii="Arial" w:hAnsi="Arial" w:cs="Arial"/>
                <w:sz w:val="22"/>
              </w:rPr>
              <w:t>’</w:t>
            </w:r>
          </w:p>
        </w:tc>
        <w:tc>
          <w:tcPr>
            <w:tcW w:w="939" w:type="dxa"/>
          </w:tcPr>
          <w:p w:rsidR="00AF014F" w:rsidRPr="00C35DF7" w:rsidRDefault="00AF014F" w:rsidP="00AF014F">
            <w:pPr>
              <w:jc w:val="center"/>
              <w:rPr>
                <w:rFonts w:ascii="Arial" w:hAnsi="Arial" w:cs="Arial"/>
              </w:rPr>
            </w:pPr>
            <w:r w:rsidRPr="00C35DF7">
              <w:rPr>
                <w:rFonts w:ascii="Arial" w:hAnsi="Arial" w:cs="Arial"/>
                <w:sz w:val="22"/>
              </w:rPr>
              <w:t>35</w:t>
            </w:r>
          </w:p>
        </w:tc>
        <w:tc>
          <w:tcPr>
            <w:tcW w:w="1440" w:type="dxa"/>
          </w:tcPr>
          <w:p w:rsidR="00AF014F" w:rsidRPr="00C35DF7" w:rsidRDefault="00AF014F" w:rsidP="00AF014F">
            <w:pPr>
              <w:jc w:val="center"/>
              <w:rPr>
                <w:rFonts w:ascii="Arial" w:hAnsi="Arial" w:cs="Arial"/>
              </w:rPr>
            </w:pPr>
            <w:r w:rsidRPr="00C35DF7">
              <w:rPr>
                <w:rFonts w:ascii="Arial" w:hAnsi="Arial" w:cs="Arial"/>
                <w:sz w:val="22"/>
              </w:rPr>
              <w:t>29º 13</w:t>
            </w:r>
            <w:r>
              <w:rPr>
                <w:rFonts w:ascii="Arial" w:hAnsi="Arial" w:cs="Arial"/>
                <w:sz w:val="22"/>
              </w:rPr>
              <w:t>’</w:t>
            </w:r>
          </w:p>
        </w:tc>
        <w:tc>
          <w:tcPr>
            <w:tcW w:w="2289" w:type="dxa"/>
          </w:tcPr>
          <w:p w:rsidR="00AF014F" w:rsidRPr="00C35DF7" w:rsidRDefault="00AF014F" w:rsidP="00AF014F">
            <w:pPr>
              <w:jc w:val="center"/>
              <w:rPr>
                <w:rFonts w:ascii="Arial" w:hAnsi="Arial" w:cs="Arial"/>
              </w:rPr>
            </w:pPr>
            <w:r w:rsidRPr="00C35DF7">
              <w:rPr>
                <w:rFonts w:ascii="Arial" w:hAnsi="Arial" w:cs="Arial"/>
                <w:sz w:val="22"/>
              </w:rPr>
              <w:t>State/EEZ Boundary</w:t>
            </w:r>
          </w:p>
        </w:tc>
      </w:tr>
      <w:tr w:rsidR="00AF014F" w:rsidRPr="001134EC" w:rsidTr="00AF014F">
        <w:tc>
          <w:tcPr>
            <w:tcW w:w="767" w:type="dxa"/>
          </w:tcPr>
          <w:p w:rsidR="00AF014F" w:rsidRPr="00C35DF7" w:rsidRDefault="00AF014F" w:rsidP="00AF014F">
            <w:pPr>
              <w:jc w:val="center"/>
              <w:rPr>
                <w:rFonts w:ascii="Arial" w:hAnsi="Arial" w:cs="Arial"/>
              </w:rPr>
            </w:pPr>
            <w:r>
              <w:rPr>
                <w:rFonts w:ascii="Arial" w:hAnsi="Arial" w:cs="Arial"/>
                <w:sz w:val="22"/>
              </w:rPr>
              <w:t>18</w:t>
            </w:r>
          </w:p>
        </w:tc>
        <w:tc>
          <w:tcPr>
            <w:tcW w:w="1443" w:type="dxa"/>
          </w:tcPr>
          <w:p w:rsidR="00AF014F" w:rsidRPr="00C35DF7" w:rsidRDefault="00AF014F" w:rsidP="00AF014F">
            <w:pPr>
              <w:jc w:val="center"/>
              <w:rPr>
                <w:rFonts w:ascii="Arial" w:hAnsi="Arial" w:cs="Arial"/>
              </w:rPr>
            </w:pPr>
            <w:r w:rsidRPr="00C35DF7">
              <w:rPr>
                <w:rFonts w:ascii="Arial" w:hAnsi="Arial" w:cs="Arial"/>
                <w:sz w:val="22"/>
              </w:rPr>
              <w:t>33° 22</w:t>
            </w:r>
            <w:r>
              <w:rPr>
                <w:rFonts w:ascii="Arial" w:hAnsi="Arial" w:cs="Arial"/>
                <w:sz w:val="22"/>
              </w:rPr>
              <w:t>’</w:t>
            </w:r>
          </w:p>
        </w:tc>
        <w:tc>
          <w:tcPr>
            <w:tcW w:w="2230" w:type="dxa"/>
          </w:tcPr>
          <w:p w:rsidR="00AF014F" w:rsidRPr="00C35DF7" w:rsidRDefault="00AF014F" w:rsidP="00AF014F">
            <w:pPr>
              <w:jc w:val="center"/>
              <w:rPr>
                <w:rFonts w:ascii="Arial" w:hAnsi="Arial" w:cs="Arial"/>
              </w:rPr>
            </w:pPr>
            <w:r w:rsidRPr="00C35DF7">
              <w:rPr>
                <w:rFonts w:ascii="Arial" w:hAnsi="Arial" w:cs="Arial"/>
                <w:sz w:val="22"/>
              </w:rPr>
              <w:t>78° 26</w:t>
            </w:r>
            <w:r>
              <w:rPr>
                <w:rFonts w:ascii="Arial" w:hAnsi="Arial" w:cs="Arial"/>
                <w:sz w:val="22"/>
              </w:rPr>
              <w:t>’</w:t>
            </w:r>
          </w:p>
        </w:tc>
        <w:tc>
          <w:tcPr>
            <w:tcW w:w="939" w:type="dxa"/>
          </w:tcPr>
          <w:p w:rsidR="00AF014F" w:rsidRPr="00C35DF7" w:rsidRDefault="00AF014F" w:rsidP="00AF014F">
            <w:pPr>
              <w:jc w:val="center"/>
              <w:rPr>
                <w:rFonts w:ascii="Arial" w:hAnsi="Arial" w:cs="Arial"/>
              </w:rPr>
            </w:pPr>
          </w:p>
        </w:tc>
        <w:tc>
          <w:tcPr>
            <w:tcW w:w="1440" w:type="dxa"/>
          </w:tcPr>
          <w:p w:rsidR="00AF014F" w:rsidRPr="00C35DF7" w:rsidRDefault="00AF014F" w:rsidP="00AF014F">
            <w:pPr>
              <w:jc w:val="center"/>
              <w:rPr>
                <w:rFonts w:ascii="Arial" w:hAnsi="Arial" w:cs="Arial"/>
              </w:rPr>
            </w:pPr>
          </w:p>
        </w:tc>
        <w:tc>
          <w:tcPr>
            <w:tcW w:w="2289" w:type="dxa"/>
          </w:tcPr>
          <w:p w:rsidR="00AF014F" w:rsidRPr="00C35DF7" w:rsidRDefault="00AF014F" w:rsidP="00AF014F">
            <w:pPr>
              <w:jc w:val="center"/>
              <w:rPr>
                <w:rFonts w:ascii="Arial" w:hAnsi="Arial" w:cs="Arial"/>
              </w:rPr>
            </w:pPr>
          </w:p>
        </w:tc>
      </w:tr>
    </w:tbl>
    <w:p w:rsidR="00AF014F" w:rsidRPr="00E34FB0" w:rsidRDefault="00AF014F" w:rsidP="00AF014F">
      <w:pPr>
        <w:rPr>
          <w:sz w:val="20"/>
          <w:szCs w:val="20"/>
        </w:rPr>
        <w:sectPr w:rsidR="00AF014F" w:rsidRPr="00E34FB0" w:rsidSect="00AF014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r w:rsidRPr="00E34FB0">
        <w:rPr>
          <w:iCs/>
          <w:sz w:val="20"/>
          <w:szCs w:val="20"/>
        </w:rPr>
        <w:t>Source: Amanda Frick, NMFS SERO</w:t>
      </w:r>
    </w:p>
    <w:p w:rsidR="00AF014F" w:rsidRPr="007117B7" w:rsidRDefault="00AF014F" w:rsidP="00AF014F">
      <w:pPr>
        <w:pStyle w:val="Figuretitle"/>
        <w:rPr>
          <w:rFonts w:ascii="Arial" w:hAnsi="Arial" w:cs="Arial"/>
          <w:sz w:val="20"/>
          <w:szCs w:val="20"/>
        </w:rPr>
      </w:pPr>
      <w:bookmarkStart w:id="12" w:name="_Toc302115352"/>
      <w:r w:rsidRPr="007117B7">
        <w:rPr>
          <w:rStyle w:val="FiguretitleChar1"/>
          <w:rFonts w:ascii="Arial" w:hAnsi="Arial" w:cs="Arial"/>
          <w:b/>
          <w:noProof/>
          <w:sz w:val="20"/>
          <w:szCs w:val="20"/>
        </w:rPr>
        <w:lastRenderedPageBreak/>
        <w:drawing>
          <wp:anchor distT="0" distB="0" distL="114300" distR="114300" simplePos="0" relativeHeight="251671040" behindDoc="0" locked="0" layoutInCell="1" allowOverlap="1">
            <wp:simplePos x="0" y="0"/>
            <wp:positionH relativeFrom="column">
              <wp:posOffset>2540</wp:posOffset>
            </wp:positionH>
            <wp:positionV relativeFrom="paragraph">
              <wp:posOffset>-95250</wp:posOffset>
            </wp:positionV>
            <wp:extent cx="5943600" cy="7366000"/>
            <wp:effectExtent l="0" t="0" r="0" b="635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8new.pn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7366000"/>
                    </a:xfrm>
                    <a:prstGeom prst="rect">
                      <a:avLst/>
                    </a:prstGeom>
                  </pic:spPr>
                </pic:pic>
              </a:graphicData>
            </a:graphic>
          </wp:anchor>
        </w:drawing>
      </w:r>
      <w:proofErr w:type="gramStart"/>
      <w:r w:rsidRPr="007117B7">
        <w:rPr>
          <w:rStyle w:val="FiguretitleChar1"/>
          <w:rFonts w:ascii="Arial" w:hAnsi="Arial" w:cs="Arial"/>
          <w:b/>
          <w:sz w:val="20"/>
          <w:szCs w:val="20"/>
        </w:rPr>
        <w:t>Figure 2.1.7.</w:t>
      </w:r>
      <w:proofErr w:type="gramEnd"/>
      <w:r w:rsidRPr="007117B7">
        <w:rPr>
          <w:rStyle w:val="FiguretitleChar1"/>
          <w:rFonts w:ascii="Arial" w:hAnsi="Arial" w:cs="Arial"/>
          <w:sz w:val="20"/>
          <w:szCs w:val="20"/>
        </w:rPr>
        <w:t xml:space="preserve">  </w:t>
      </w:r>
      <w:proofErr w:type="gramStart"/>
      <w:r w:rsidRPr="007117B7">
        <w:rPr>
          <w:rStyle w:val="FiguretitleChar1"/>
          <w:rFonts w:ascii="Arial" w:hAnsi="Arial" w:cs="Arial"/>
          <w:sz w:val="20"/>
          <w:szCs w:val="20"/>
        </w:rPr>
        <w:t>Area for the proposed black sea bass pot closure</w:t>
      </w:r>
      <w:r w:rsidR="000242E5" w:rsidRPr="007117B7">
        <w:rPr>
          <w:rStyle w:val="FiguretitleChar1"/>
          <w:rFonts w:ascii="Arial" w:hAnsi="Arial" w:cs="Arial"/>
          <w:sz w:val="20"/>
          <w:szCs w:val="20"/>
        </w:rPr>
        <w:fldChar w:fldCharType="begin"/>
      </w:r>
      <w:r w:rsidRPr="007117B7">
        <w:rPr>
          <w:rStyle w:val="FiguretitleChar1"/>
          <w:rFonts w:ascii="Arial" w:hAnsi="Arial" w:cs="Arial"/>
          <w:sz w:val="20"/>
          <w:szCs w:val="20"/>
        </w:rPr>
        <w:instrText xml:space="preserve"> XE "</w:instrText>
      </w:r>
      <w:r w:rsidRPr="007117B7">
        <w:rPr>
          <w:rStyle w:val="FiguretitleChar1"/>
          <w:rFonts w:ascii="Arial" w:eastAsiaTheme="minorHAnsi" w:hAnsi="Arial" w:cs="Arial"/>
          <w:sz w:val="20"/>
          <w:szCs w:val="20"/>
        </w:rPr>
        <w:instrText>black sea bass pot closure</w:instrText>
      </w:r>
      <w:r w:rsidRPr="007117B7">
        <w:rPr>
          <w:rStyle w:val="FiguretitleChar1"/>
          <w:rFonts w:ascii="Arial" w:hAnsi="Arial" w:cs="Arial"/>
          <w:sz w:val="20"/>
          <w:szCs w:val="20"/>
        </w:rPr>
        <w:instrText xml:space="preserve">" </w:instrText>
      </w:r>
      <w:r w:rsidR="000242E5" w:rsidRPr="007117B7">
        <w:rPr>
          <w:rStyle w:val="FiguretitleChar1"/>
          <w:rFonts w:ascii="Arial" w:hAnsi="Arial" w:cs="Arial"/>
          <w:sz w:val="20"/>
          <w:szCs w:val="20"/>
        </w:rPr>
        <w:fldChar w:fldCharType="end"/>
      </w:r>
      <w:r w:rsidRPr="007117B7">
        <w:rPr>
          <w:rStyle w:val="FiguretitleChar1"/>
          <w:rFonts w:ascii="Arial" w:hAnsi="Arial" w:cs="Arial"/>
          <w:sz w:val="20"/>
          <w:szCs w:val="20"/>
        </w:rPr>
        <w:t xml:space="preserve"> in </w:t>
      </w:r>
      <w:r w:rsidRPr="00EA0472">
        <w:rPr>
          <w:rStyle w:val="FiguretitleChar1"/>
          <w:rFonts w:ascii="Arial" w:hAnsi="Arial" w:cs="Arial"/>
          <w:b/>
          <w:sz w:val="20"/>
          <w:szCs w:val="20"/>
        </w:rPr>
        <w:t>Alternative 8</w:t>
      </w:r>
      <w:r w:rsidRPr="007117B7">
        <w:rPr>
          <w:rStyle w:val="FiguretitleChar1"/>
          <w:rFonts w:ascii="Arial" w:hAnsi="Arial" w:cs="Arial"/>
          <w:sz w:val="20"/>
          <w:szCs w:val="20"/>
        </w:rPr>
        <w:t>.</w:t>
      </w:r>
      <w:bookmarkEnd w:id="12"/>
      <w:proofErr w:type="gramEnd"/>
      <w:r w:rsidRPr="007117B7">
        <w:rPr>
          <w:rFonts w:ascii="Arial" w:hAnsi="Arial" w:cs="Arial"/>
          <w:sz w:val="20"/>
          <w:szCs w:val="20"/>
        </w:rPr>
        <w:t xml:space="preserve"> </w:t>
      </w:r>
    </w:p>
    <w:p w:rsidR="00AF014F" w:rsidRPr="007117B7" w:rsidRDefault="00AF014F" w:rsidP="00AF014F">
      <w:pPr>
        <w:rPr>
          <w:sz w:val="20"/>
          <w:szCs w:val="20"/>
        </w:rPr>
      </w:pPr>
      <w:r w:rsidRPr="007117B7">
        <w:rPr>
          <w:iCs/>
          <w:sz w:val="20"/>
          <w:szCs w:val="20"/>
        </w:rPr>
        <w:t>Source: Amanda Frick, NMFS SERO</w:t>
      </w:r>
    </w:p>
    <w:p w:rsidR="00AF014F" w:rsidRPr="00B112DE" w:rsidRDefault="00AF014F" w:rsidP="00AF014F">
      <w:pPr>
        <w:rPr>
          <w:b/>
        </w:rPr>
      </w:pPr>
      <w:r>
        <w:rPr>
          <w:b/>
        </w:rPr>
        <w:br w:type="page"/>
      </w:r>
      <w:proofErr w:type="gramStart"/>
      <w:r w:rsidRPr="00680311">
        <w:rPr>
          <w:b/>
        </w:rPr>
        <w:lastRenderedPageBreak/>
        <w:t xml:space="preserve">Alternative </w:t>
      </w:r>
      <w:r>
        <w:rPr>
          <w:b/>
        </w:rPr>
        <w:t>9.</w:t>
      </w:r>
      <w:proofErr w:type="gramEnd"/>
      <w:r>
        <w:rPr>
          <w:b/>
        </w:rPr>
        <w:t xml:space="preserve"> </w:t>
      </w:r>
      <w:r w:rsidRPr="00680311">
        <w:rPr>
          <w:b/>
        </w:rPr>
        <w:t xml:space="preserve"> </w:t>
      </w:r>
      <w:r w:rsidRPr="00680311">
        <w:t>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rsidRPr="00680311">
        <w:t xml:space="preserve"> applies to </w:t>
      </w:r>
      <w:r w:rsidRPr="00B33EBA">
        <w:t>waters</w:t>
      </w:r>
      <w:r>
        <w:t xml:space="preserve"> inshore of points 1-2</w:t>
      </w:r>
      <w:r w:rsidRPr="00680311">
        <w:t xml:space="preserve">8 listed below </w:t>
      </w:r>
      <w:r w:rsidRPr="004F2675">
        <w:rPr>
          <w:b/>
        </w:rPr>
        <w:t>(Table 2.1.</w:t>
      </w:r>
      <w:r>
        <w:rPr>
          <w:b/>
        </w:rPr>
        <w:t>7</w:t>
      </w:r>
      <w:r w:rsidRPr="004F2675">
        <w:rPr>
          <w:b/>
        </w:rPr>
        <w:t>)</w:t>
      </w:r>
      <w:r>
        <w:t>;</w:t>
      </w:r>
      <w:r w:rsidRPr="00680311">
        <w:t xml:space="preserve"> </w:t>
      </w:r>
      <w:r w:rsidRPr="000E1342">
        <w:t>approximately</w:t>
      </w:r>
      <w:r>
        <w:t xml:space="preserve"> Daytona Beach</w:t>
      </w:r>
      <w:r w:rsidRPr="00680311">
        <w:t>, Florida, to Cape Hatteras, North Carolina</w:t>
      </w:r>
      <w:r>
        <w:t xml:space="preserve"> </w:t>
      </w:r>
      <w:r>
        <w:rPr>
          <w:b/>
        </w:rPr>
        <w:t>(Figure 2.1.8</w:t>
      </w:r>
      <w:r w:rsidRPr="004F2675">
        <w:rPr>
          <w:b/>
        </w:rPr>
        <w:t>)</w:t>
      </w:r>
      <w:r w:rsidRPr="00680311">
        <w:t xml:space="preserve">. </w:t>
      </w:r>
    </w:p>
    <w:p w:rsidR="00AF014F" w:rsidRPr="00680311" w:rsidRDefault="00AF014F" w:rsidP="00AF014F"/>
    <w:p w:rsidR="00AF014F" w:rsidRPr="00680311" w:rsidRDefault="00AF014F" w:rsidP="00AF014F">
      <w:pPr>
        <w:ind w:left="720"/>
      </w:pPr>
      <w:proofErr w:type="gramStart"/>
      <w:r w:rsidRPr="00680311">
        <w:rPr>
          <w:b/>
        </w:rPr>
        <w:t xml:space="preserve">Sub-alternative </w:t>
      </w:r>
      <w:r>
        <w:rPr>
          <w:b/>
        </w:rPr>
        <w:t>9</w:t>
      </w:r>
      <w:r w:rsidRPr="00680311">
        <w:rPr>
          <w:b/>
        </w:rPr>
        <w:t>a.</w:t>
      </w:r>
      <w:proofErr w:type="gramEnd"/>
      <w:r w:rsidRPr="00680311">
        <w:t xml:space="preserve">  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rsidRPr="00680311">
        <w:t xml:space="preserve"> applies to the area annually from November 1 through April 15.</w:t>
      </w:r>
    </w:p>
    <w:p w:rsidR="00AF014F" w:rsidRDefault="00AF014F" w:rsidP="00AF014F">
      <w:pPr>
        <w:ind w:left="720"/>
        <w:rPr>
          <w:b/>
        </w:rPr>
      </w:pPr>
    </w:p>
    <w:p w:rsidR="00AF014F" w:rsidRDefault="00AF014F" w:rsidP="00AF014F">
      <w:pPr>
        <w:ind w:left="720"/>
      </w:pPr>
      <w:proofErr w:type="gramStart"/>
      <w:r w:rsidRPr="00680311">
        <w:rPr>
          <w:b/>
        </w:rPr>
        <w:t xml:space="preserve">Sub-alternative </w:t>
      </w:r>
      <w:r>
        <w:rPr>
          <w:b/>
        </w:rPr>
        <w:t>9</w:t>
      </w:r>
      <w:r w:rsidRPr="00680311">
        <w:rPr>
          <w:b/>
        </w:rPr>
        <w:t>b.</w:t>
      </w:r>
      <w:proofErr w:type="gramEnd"/>
      <w:r w:rsidRPr="00680311">
        <w:t xml:space="preserve"> For the area off North Carolina and South Carolina, 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rsidRPr="00680311">
        <w:t xml:space="preserve"> applies annually from November 1 through December 15 and February 15 through April 30.  </w:t>
      </w:r>
      <w:r w:rsidRPr="000E1342">
        <w:t>For the area off Georgia and Florida, the black sea bass pot closure applies annually from November 15 through April 15.</w:t>
      </w:r>
    </w:p>
    <w:p w:rsidR="00AF014F" w:rsidRDefault="00AF014F" w:rsidP="00AF014F">
      <w:pPr>
        <w:rPr>
          <w:b/>
        </w:rPr>
      </w:pPr>
    </w:p>
    <w:p w:rsidR="00AF014F" w:rsidRDefault="00AF014F" w:rsidP="00AF014F">
      <w:r>
        <w:t>In</w:t>
      </w:r>
      <w:r>
        <w:rPr>
          <w:b/>
        </w:rPr>
        <w:t xml:space="preserve"> Alternative 9</w:t>
      </w:r>
      <w:r>
        <w:t xml:space="preserve">, the boundaries </w:t>
      </w:r>
      <w:proofErr w:type="spellStart"/>
      <w:r>
        <w:t>off</w:t>
      </w:r>
      <w:proofErr w:type="spellEnd"/>
      <w:r>
        <w:t xml:space="preserve"> Florida and Georgia are identical to the boundaries in </w:t>
      </w:r>
      <w:r w:rsidRPr="00A206B4">
        <w:rPr>
          <w:b/>
        </w:rPr>
        <w:t>Alternative 5</w:t>
      </w:r>
      <w:r>
        <w:t xml:space="preserve">.  </w:t>
      </w:r>
      <w:r w:rsidRPr="00680311">
        <w:t>Off North Carolina and South Carolina, 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rsidRPr="00680311">
        <w:t xml:space="preserve"> applies in the exclusive economic zone in waters shallower than 20 meters. </w:t>
      </w:r>
      <w:r>
        <w:t xml:space="preserve"> </w:t>
      </w:r>
    </w:p>
    <w:p w:rsidR="00AF014F" w:rsidRDefault="00AF014F" w:rsidP="00AF014F"/>
    <w:p w:rsidR="00AF014F" w:rsidRDefault="00AF014F" w:rsidP="00AF014F">
      <w:r w:rsidRPr="00680311">
        <w:rPr>
          <w:b/>
        </w:rPr>
        <w:t>Note:</w:t>
      </w:r>
      <w:r w:rsidRPr="00680311">
        <w:t xml:space="preserve"> Federal regulations would only apply to that portion of the area within the South Atlantic EEZ</w:t>
      </w:r>
      <w:r w:rsidR="000242E5">
        <w:fldChar w:fldCharType="begin"/>
      </w:r>
      <w:r>
        <w:instrText xml:space="preserve"> XE "</w:instrText>
      </w:r>
      <w:r w:rsidRPr="000E2ACD">
        <w:instrText>South Atlantic EEZ</w:instrText>
      </w:r>
      <w:r>
        <w:instrText xml:space="preserve">" </w:instrText>
      </w:r>
      <w:r w:rsidR="000242E5">
        <w:fldChar w:fldCharType="end"/>
      </w:r>
      <w:r w:rsidRPr="00680311">
        <w:t>. The states will be asked to implement compatible regulations for the portion of the area within state waters.</w:t>
      </w:r>
    </w:p>
    <w:p w:rsidR="00AF014F" w:rsidRPr="00680311" w:rsidRDefault="00AF014F" w:rsidP="00AF014F"/>
    <w:p w:rsidR="00AF014F" w:rsidRDefault="00AF014F" w:rsidP="00AF014F">
      <w:pPr>
        <w:autoSpaceDE w:val="0"/>
        <w:autoSpaceDN w:val="0"/>
        <w:adjustRightInd w:val="0"/>
      </w:pPr>
    </w:p>
    <w:p w:rsidR="00AF014F" w:rsidRDefault="00AF014F" w:rsidP="00AF014F">
      <w:r>
        <w:br w:type="page"/>
      </w:r>
    </w:p>
    <w:p w:rsidR="00AF014F" w:rsidRPr="007117B7" w:rsidRDefault="00AF014F" w:rsidP="00AF014F">
      <w:pPr>
        <w:pStyle w:val="Tabletitle"/>
      </w:pPr>
      <w:bookmarkStart w:id="13" w:name="_Toc302115476"/>
      <w:proofErr w:type="gramStart"/>
      <w:r w:rsidRPr="007117B7">
        <w:lastRenderedPageBreak/>
        <w:t>Table 2.1.7.</w:t>
      </w:r>
      <w:proofErr w:type="gramEnd"/>
      <w:r w:rsidRPr="007117B7">
        <w:t xml:space="preserve"> </w:t>
      </w:r>
      <w:r w:rsidRPr="007117B7">
        <w:rPr>
          <w:b w:val="0"/>
        </w:rPr>
        <w:t>Eastern boundary coordinates for the proposed black sea bass pot closure</w:t>
      </w:r>
      <w:r w:rsidR="000242E5" w:rsidRPr="007117B7">
        <w:rPr>
          <w:b w:val="0"/>
        </w:rPr>
        <w:fldChar w:fldCharType="begin"/>
      </w:r>
      <w:r w:rsidRPr="007117B7">
        <w:rPr>
          <w:b w:val="0"/>
        </w:rPr>
        <w:instrText xml:space="preserve"> XE "</w:instrText>
      </w:r>
      <w:r w:rsidRPr="007117B7">
        <w:rPr>
          <w:rStyle w:val="FiguretitleChar1"/>
          <w:rFonts w:eastAsiaTheme="minorHAnsi"/>
          <w:b w:val="0"/>
          <w:sz w:val="20"/>
          <w:szCs w:val="20"/>
        </w:rPr>
        <w:instrText>black sea bass pot closure</w:instrText>
      </w:r>
      <w:r w:rsidRPr="007117B7">
        <w:rPr>
          <w:b w:val="0"/>
        </w:rPr>
        <w:instrText xml:space="preserve">" </w:instrText>
      </w:r>
      <w:r w:rsidR="000242E5" w:rsidRPr="007117B7">
        <w:rPr>
          <w:b w:val="0"/>
        </w:rPr>
        <w:fldChar w:fldCharType="end"/>
      </w:r>
      <w:r w:rsidRPr="007117B7">
        <w:rPr>
          <w:b w:val="0"/>
        </w:rPr>
        <w:t xml:space="preserve"> in </w:t>
      </w:r>
      <w:r w:rsidRPr="00EA0472">
        <w:t>Alternative 9</w:t>
      </w:r>
      <w:r w:rsidRPr="007117B7">
        <w:rPr>
          <w:b w:val="0"/>
        </w:rPr>
        <w:t>.</w:t>
      </w:r>
      <w:bookmarkEnd w:id="13"/>
    </w:p>
    <w:tbl>
      <w:tblPr>
        <w:tblStyle w:val="TableGrid"/>
        <w:tblW w:w="0" w:type="auto"/>
        <w:jc w:val="center"/>
        <w:tblLook w:val="04A0"/>
      </w:tblPr>
      <w:tblGrid>
        <w:gridCol w:w="766"/>
        <w:gridCol w:w="2388"/>
        <w:gridCol w:w="2974"/>
      </w:tblGrid>
      <w:tr w:rsidR="00AF014F" w:rsidRPr="00030CE6" w:rsidTr="00AF014F">
        <w:trPr>
          <w:jc w:val="center"/>
        </w:trPr>
        <w:tc>
          <w:tcPr>
            <w:tcW w:w="0" w:type="auto"/>
            <w:shd w:val="clear" w:color="auto" w:fill="D9D9D9" w:themeFill="background1" w:themeFillShade="D9"/>
          </w:tcPr>
          <w:p w:rsidR="00AF014F" w:rsidRPr="00C35DF7" w:rsidRDefault="00AF014F" w:rsidP="00AF014F">
            <w:pPr>
              <w:jc w:val="center"/>
              <w:rPr>
                <w:rFonts w:ascii="Arial" w:hAnsi="Arial" w:cs="Arial"/>
                <w:b/>
              </w:rPr>
            </w:pPr>
            <w:r w:rsidRPr="00C35DF7">
              <w:rPr>
                <w:rFonts w:ascii="Arial" w:hAnsi="Arial" w:cs="Arial"/>
                <w:b/>
                <w:sz w:val="22"/>
              </w:rPr>
              <w:t>Point</w:t>
            </w:r>
          </w:p>
        </w:tc>
        <w:tc>
          <w:tcPr>
            <w:tcW w:w="2388" w:type="dxa"/>
            <w:shd w:val="clear" w:color="auto" w:fill="D9D9D9" w:themeFill="background1" w:themeFillShade="D9"/>
          </w:tcPr>
          <w:p w:rsidR="00AF014F" w:rsidRPr="00C35DF7" w:rsidRDefault="00AF014F" w:rsidP="00AF014F">
            <w:pPr>
              <w:jc w:val="center"/>
              <w:rPr>
                <w:rFonts w:ascii="Arial" w:hAnsi="Arial" w:cs="Arial"/>
                <w:b/>
              </w:rPr>
            </w:pPr>
            <w:r w:rsidRPr="00C35DF7">
              <w:rPr>
                <w:rFonts w:ascii="Arial" w:hAnsi="Arial" w:cs="Arial"/>
                <w:b/>
                <w:sz w:val="22"/>
              </w:rPr>
              <w:t>N Latitude</w:t>
            </w:r>
          </w:p>
        </w:tc>
        <w:tc>
          <w:tcPr>
            <w:tcW w:w="2974" w:type="dxa"/>
            <w:shd w:val="clear" w:color="auto" w:fill="D9D9D9" w:themeFill="background1" w:themeFillShade="D9"/>
          </w:tcPr>
          <w:p w:rsidR="00AF014F" w:rsidRPr="00C35DF7" w:rsidRDefault="00AF014F" w:rsidP="00AF014F">
            <w:pPr>
              <w:jc w:val="center"/>
              <w:rPr>
                <w:rFonts w:ascii="Arial" w:hAnsi="Arial" w:cs="Arial"/>
                <w:b/>
              </w:rPr>
            </w:pPr>
            <w:r w:rsidRPr="00C35DF7">
              <w:rPr>
                <w:rFonts w:ascii="Arial" w:hAnsi="Arial" w:cs="Arial"/>
                <w:b/>
                <w:sz w:val="22"/>
              </w:rPr>
              <w:t>W Longitude</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35° 15′</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State/EEZ Boundary</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2</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35° 15</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75° 20</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3</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35° 05</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75° 24</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4</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35° 08</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75° 38</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5</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35° 04</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75° 52</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6</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34° 51</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76° 11</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7</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34° 36</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76° 24</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8</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34° 24</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76° 19</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9</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34° 21</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76° 27</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10</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34° 33</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76° 48</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11</w:t>
            </w:r>
          </w:p>
        </w:tc>
        <w:tc>
          <w:tcPr>
            <w:tcW w:w="2388" w:type="dxa"/>
          </w:tcPr>
          <w:p w:rsidR="00AF014F" w:rsidRPr="00C35DF7" w:rsidDel="00596B8E" w:rsidRDefault="00AF014F" w:rsidP="00AF014F">
            <w:pPr>
              <w:jc w:val="center"/>
              <w:rPr>
                <w:rFonts w:ascii="Arial" w:hAnsi="Arial" w:cs="Arial"/>
              </w:rPr>
            </w:pPr>
            <w:r w:rsidRPr="00C35DF7">
              <w:rPr>
                <w:rFonts w:ascii="Arial" w:hAnsi="Arial" w:cs="Arial"/>
                <w:sz w:val="22"/>
              </w:rPr>
              <w:t>34° 16</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77° 25</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12</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33° 44</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77° 46</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13</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33° 30</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77° 31</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14</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33° 28</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77° 35</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15</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33° 36</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77° 55</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16</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33° 34</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78° 28</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17</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32° 59</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78° 52</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18</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32° 59</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79° 02</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19</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32° 31</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79° 30</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sidRPr="00C35DF7">
              <w:rPr>
                <w:rFonts w:ascii="Arial" w:hAnsi="Arial" w:cs="Arial"/>
                <w:sz w:val="22"/>
              </w:rPr>
              <w:t>20</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31° 57</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80° 27</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Pr>
                <w:rFonts w:ascii="Arial" w:hAnsi="Arial" w:cs="Arial"/>
                <w:sz w:val="22"/>
              </w:rPr>
              <w:t>2</w:t>
            </w:r>
            <w:r w:rsidRPr="00C35DF7">
              <w:rPr>
                <w:rFonts w:ascii="Arial" w:hAnsi="Arial" w:cs="Arial"/>
                <w:sz w:val="22"/>
              </w:rPr>
              <w:t>1</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31° 42</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80° 24</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Pr>
                <w:rFonts w:ascii="Arial" w:hAnsi="Arial" w:cs="Arial"/>
                <w:sz w:val="22"/>
              </w:rPr>
              <w:t>2</w:t>
            </w:r>
            <w:r w:rsidRPr="00C35DF7">
              <w:rPr>
                <w:rFonts w:ascii="Arial" w:hAnsi="Arial" w:cs="Arial"/>
                <w:sz w:val="22"/>
              </w:rPr>
              <w:t>2</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31º 31</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80º 33</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Pr>
                <w:rFonts w:ascii="Arial" w:hAnsi="Arial" w:cs="Arial"/>
                <w:sz w:val="22"/>
              </w:rPr>
              <w:t>2</w:t>
            </w:r>
            <w:r w:rsidRPr="00C35DF7">
              <w:rPr>
                <w:rFonts w:ascii="Arial" w:hAnsi="Arial" w:cs="Arial"/>
                <w:sz w:val="22"/>
              </w:rPr>
              <w:t>3</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30º 43</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80º 49</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Pr>
                <w:rFonts w:ascii="Arial" w:hAnsi="Arial" w:cs="Arial"/>
                <w:sz w:val="22"/>
              </w:rPr>
              <w:t>2</w:t>
            </w:r>
            <w:r w:rsidRPr="00C35DF7">
              <w:rPr>
                <w:rFonts w:ascii="Arial" w:hAnsi="Arial" w:cs="Arial"/>
                <w:sz w:val="22"/>
              </w:rPr>
              <w:t>4</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30º 30</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81º 01</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Pr>
                <w:rFonts w:ascii="Arial" w:hAnsi="Arial" w:cs="Arial"/>
                <w:sz w:val="22"/>
              </w:rPr>
              <w:t>2</w:t>
            </w:r>
            <w:r w:rsidRPr="00C35DF7">
              <w:rPr>
                <w:rFonts w:ascii="Arial" w:hAnsi="Arial" w:cs="Arial"/>
                <w:sz w:val="22"/>
              </w:rPr>
              <w:t>5</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29º 45</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81º 01</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Pr>
                <w:rFonts w:ascii="Arial" w:hAnsi="Arial" w:cs="Arial"/>
                <w:sz w:val="22"/>
              </w:rPr>
              <w:t>2</w:t>
            </w:r>
            <w:r w:rsidRPr="00C35DF7">
              <w:rPr>
                <w:rFonts w:ascii="Arial" w:hAnsi="Arial" w:cs="Arial"/>
                <w:sz w:val="22"/>
              </w:rPr>
              <w:t>6</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29º 31</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80º 58</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Pr>
                <w:rFonts w:ascii="Arial" w:hAnsi="Arial" w:cs="Arial"/>
                <w:sz w:val="22"/>
              </w:rPr>
              <w:t>2</w:t>
            </w:r>
            <w:r w:rsidRPr="00C35DF7">
              <w:rPr>
                <w:rFonts w:ascii="Arial" w:hAnsi="Arial" w:cs="Arial"/>
                <w:sz w:val="22"/>
              </w:rPr>
              <w:t>7</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29º 13</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80º 52</w:t>
            </w:r>
            <w:r>
              <w:rPr>
                <w:rFonts w:ascii="Arial" w:hAnsi="Arial" w:cs="Arial"/>
                <w:sz w:val="22"/>
              </w:rPr>
              <w:t>’</w:t>
            </w:r>
          </w:p>
        </w:tc>
      </w:tr>
      <w:tr w:rsidR="00AF014F" w:rsidRPr="001134EC" w:rsidTr="00AF014F">
        <w:trPr>
          <w:jc w:val="center"/>
        </w:trPr>
        <w:tc>
          <w:tcPr>
            <w:tcW w:w="0" w:type="auto"/>
          </w:tcPr>
          <w:p w:rsidR="00AF014F" w:rsidRPr="00C35DF7" w:rsidRDefault="00AF014F" w:rsidP="00AF014F">
            <w:pPr>
              <w:jc w:val="center"/>
              <w:rPr>
                <w:rFonts w:ascii="Arial" w:hAnsi="Arial" w:cs="Arial"/>
              </w:rPr>
            </w:pPr>
            <w:r>
              <w:rPr>
                <w:rFonts w:ascii="Arial" w:hAnsi="Arial" w:cs="Arial"/>
                <w:sz w:val="22"/>
              </w:rPr>
              <w:t>2</w:t>
            </w:r>
            <w:r w:rsidRPr="00C35DF7">
              <w:rPr>
                <w:rFonts w:ascii="Arial" w:hAnsi="Arial" w:cs="Arial"/>
                <w:sz w:val="22"/>
              </w:rPr>
              <w:t>8</w:t>
            </w:r>
          </w:p>
        </w:tc>
        <w:tc>
          <w:tcPr>
            <w:tcW w:w="2388" w:type="dxa"/>
          </w:tcPr>
          <w:p w:rsidR="00AF014F" w:rsidRPr="00C35DF7" w:rsidRDefault="00AF014F" w:rsidP="00AF014F">
            <w:pPr>
              <w:jc w:val="center"/>
              <w:rPr>
                <w:rFonts w:ascii="Arial" w:hAnsi="Arial" w:cs="Arial"/>
              </w:rPr>
            </w:pPr>
            <w:r w:rsidRPr="00C35DF7">
              <w:rPr>
                <w:rFonts w:ascii="Arial" w:hAnsi="Arial" w:cs="Arial"/>
                <w:sz w:val="22"/>
              </w:rPr>
              <w:t>29º 13</w:t>
            </w:r>
            <w:r>
              <w:rPr>
                <w:rFonts w:ascii="Arial" w:hAnsi="Arial" w:cs="Arial"/>
                <w:sz w:val="22"/>
              </w:rPr>
              <w:t>’</w:t>
            </w:r>
          </w:p>
        </w:tc>
        <w:tc>
          <w:tcPr>
            <w:tcW w:w="2974" w:type="dxa"/>
          </w:tcPr>
          <w:p w:rsidR="00AF014F" w:rsidRPr="00C35DF7" w:rsidRDefault="00AF014F" w:rsidP="00AF014F">
            <w:pPr>
              <w:jc w:val="center"/>
              <w:rPr>
                <w:rFonts w:ascii="Arial" w:hAnsi="Arial" w:cs="Arial"/>
              </w:rPr>
            </w:pPr>
            <w:r w:rsidRPr="00C35DF7">
              <w:rPr>
                <w:rFonts w:ascii="Arial" w:hAnsi="Arial" w:cs="Arial"/>
                <w:sz w:val="22"/>
              </w:rPr>
              <w:t>State/EEZ Boundary</w:t>
            </w:r>
          </w:p>
        </w:tc>
      </w:tr>
    </w:tbl>
    <w:p w:rsidR="00AF014F" w:rsidRPr="007117B7" w:rsidRDefault="00AF014F" w:rsidP="00AF014F">
      <w:pPr>
        <w:rPr>
          <w:sz w:val="20"/>
          <w:szCs w:val="20"/>
        </w:rPr>
        <w:sectPr w:rsidR="00AF014F" w:rsidRPr="007117B7" w:rsidSect="00AF014F">
          <w:pgSz w:w="12240" w:h="15840"/>
          <w:pgMar w:top="1440" w:right="1440" w:bottom="1440" w:left="1440" w:header="720" w:footer="720" w:gutter="0"/>
          <w:cols w:space="720"/>
          <w:docGrid w:linePitch="360"/>
        </w:sectPr>
      </w:pPr>
      <w:r w:rsidRPr="007117B7">
        <w:rPr>
          <w:iCs/>
          <w:sz w:val="20"/>
          <w:szCs w:val="20"/>
        </w:rPr>
        <w:t>Source: Amanda Frick, NMFS SERO</w:t>
      </w:r>
    </w:p>
    <w:p w:rsidR="00AF014F" w:rsidRDefault="00AF014F" w:rsidP="00AF014F">
      <w:r>
        <w:rPr>
          <w:noProof/>
        </w:rPr>
        <w:lastRenderedPageBreak/>
        <w:drawing>
          <wp:inline distT="0" distB="0" distL="0" distR="0">
            <wp:extent cx="5943600" cy="736536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9new.pn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7365365"/>
                    </a:xfrm>
                    <a:prstGeom prst="rect">
                      <a:avLst/>
                    </a:prstGeom>
                  </pic:spPr>
                </pic:pic>
              </a:graphicData>
            </a:graphic>
          </wp:inline>
        </w:drawing>
      </w:r>
    </w:p>
    <w:p w:rsidR="00AF014F" w:rsidRPr="007117B7" w:rsidRDefault="00AF014F" w:rsidP="00AF014F">
      <w:pPr>
        <w:pStyle w:val="Figuretitle"/>
        <w:rPr>
          <w:rFonts w:ascii="Arial" w:hAnsi="Arial" w:cs="Arial"/>
          <w:sz w:val="20"/>
          <w:szCs w:val="20"/>
        </w:rPr>
      </w:pPr>
      <w:bookmarkStart w:id="14" w:name="_Toc302115353"/>
      <w:proofErr w:type="gramStart"/>
      <w:r w:rsidRPr="007117B7">
        <w:rPr>
          <w:rStyle w:val="FiguretitleChar1"/>
          <w:rFonts w:ascii="Arial" w:hAnsi="Arial" w:cs="Arial"/>
          <w:b/>
          <w:sz w:val="20"/>
          <w:szCs w:val="20"/>
        </w:rPr>
        <w:t>Figure 2.1.8.</w:t>
      </w:r>
      <w:proofErr w:type="gramEnd"/>
      <w:r w:rsidRPr="007117B7">
        <w:rPr>
          <w:rStyle w:val="FiguretitleChar1"/>
          <w:rFonts w:ascii="Arial" w:hAnsi="Arial" w:cs="Arial"/>
          <w:sz w:val="20"/>
          <w:szCs w:val="20"/>
        </w:rPr>
        <w:t xml:space="preserve">  </w:t>
      </w:r>
      <w:proofErr w:type="gramStart"/>
      <w:r w:rsidRPr="007117B7">
        <w:rPr>
          <w:rStyle w:val="FiguretitleChar1"/>
          <w:rFonts w:ascii="Arial" w:hAnsi="Arial" w:cs="Arial"/>
          <w:sz w:val="20"/>
          <w:szCs w:val="20"/>
        </w:rPr>
        <w:t>Area for the proposed black sea bass pot closure</w:t>
      </w:r>
      <w:r w:rsidR="000242E5" w:rsidRPr="007117B7">
        <w:rPr>
          <w:rStyle w:val="FiguretitleChar1"/>
          <w:rFonts w:ascii="Arial" w:hAnsi="Arial" w:cs="Arial"/>
          <w:sz w:val="20"/>
          <w:szCs w:val="20"/>
        </w:rPr>
        <w:fldChar w:fldCharType="begin"/>
      </w:r>
      <w:r w:rsidRPr="007117B7">
        <w:rPr>
          <w:rFonts w:ascii="Arial" w:hAnsi="Arial" w:cs="Arial"/>
          <w:sz w:val="20"/>
          <w:szCs w:val="20"/>
        </w:rPr>
        <w:instrText xml:space="preserve"> XE "</w:instrText>
      </w:r>
      <w:r w:rsidRPr="007117B7">
        <w:rPr>
          <w:rStyle w:val="FiguretitleChar1"/>
          <w:rFonts w:ascii="Arial" w:eastAsiaTheme="minorHAnsi" w:hAnsi="Arial" w:cs="Arial"/>
          <w:sz w:val="20"/>
          <w:szCs w:val="20"/>
        </w:rPr>
        <w:instrText>black sea bass pot closure</w:instrText>
      </w:r>
      <w:r w:rsidRPr="007117B7">
        <w:rPr>
          <w:rFonts w:ascii="Arial" w:hAnsi="Arial" w:cs="Arial"/>
          <w:sz w:val="20"/>
          <w:szCs w:val="20"/>
        </w:rPr>
        <w:instrText xml:space="preserve">" </w:instrText>
      </w:r>
      <w:r w:rsidR="000242E5" w:rsidRPr="007117B7">
        <w:rPr>
          <w:rStyle w:val="FiguretitleChar1"/>
          <w:rFonts w:ascii="Arial" w:hAnsi="Arial" w:cs="Arial"/>
          <w:sz w:val="20"/>
          <w:szCs w:val="20"/>
        </w:rPr>
        <w:fldChar w:fldCharType="end"/>
      </w:r>
      <w:r w:rsidRPr="007117B7">
        <w:rPr>
          <w:rStyle w:val="FiguretitleChar1"/>
          <w:rFonts w:ascii="Arial" w:hAnsi="Arial" w:cs="Arial"/>
          <w:sz w:val="20"/>
          <w:szCs w:val="20"/>
        </w:rPr>
        <w:t xml:space="preserve"> in </w:t>
      </w:r>
      <w:r w:rsidRPr="007117B7">
        <w:rPr>
          <w:rStyle w:val="FiguretitleChar1"/>
          <w:rFonts w:ascii="Arial" w:hAnsi="Arial" w:cs="Arial"/>
          <w:b/>
          <w:sz w:val="20"/>
          <w:szCs w:val="20"/>
        </w:rPr>
        <w:t>Alternative 9</w:t>
      </w:r>
      <w:r w:rsidRPr="007117B7">
        <w:rPr>
          <w:rStyle w:val="FiguretitleChar1"/>
          <w:rFonts w:ascii="Arial" w:hAnsi="Arial" w:cs="Arial"/>
          <w:sz w:val="20"/>
          <w:szCs w:val="20"/>
        </w:rPr>
        <w:t>.</w:t>
      </w:r>
      <w:bookmarkEnd w:id="14"/>
      <w:proofErr w:type="gramEnd"/>
    </w:p>
    <w:p w:rsidR="00AF014F" w:rsidRPr="007117B7" w:rsidRDefault="00AF014F" w:rsidP="00AF014F">
      <w:pPr>
        <w:rPr>
          <w:sz w:val="20"/>
          <w:szCs w:val="20"/>
        </w:rPr>
        <w:sectPr w:rsidR="00AF014F" w:rsidRPr="007117B7" w:rsidSect="00AF014F">
          <w:footerReference w:type="default" r:id="rId24"/>
          <w:pgSz w:w="12240" w:h="15840"/>
          <w:pgMar w:top="1440" w:right="1440" w:bottom="1440" w:left="1440" w:header="720" w:footer="720" w:gutter="0"/>
          <w:cols w:space="720"/>
          <w:docGrid w:linePitch="360"/>
        </w:sectPr>
      </w:pPr>
      <w:r w:rsidRPr="007117B7">
        <w:rPr>
          <w:iCs/>
          <w:sz w:val="20"/>
          <w:szCs w:val="20"/>
        </w:rPr>
        <w:t>Source: Amanda Frick, NMFS SERO</w:t>
      </w:r>
    </w:p>
    <w:p w:rsidR="00AF014F" w:rsidRPr="001E3363" w:rsidRDefault="00AF014F" w:rsidP="00AF014F">
      <w:pPr>
        <w:rPr>
          <w:b/>
        </w:rPr>
      </w:pPr>
      <w:proofErr w:type="gramStart"/>
      <w:r w:rsidRPr="00680311">
        <w:rPr>
          <w:b/>
        </w:rPr>
        <w:lastRenderedPageBreak/>
        <w:t xml:space="preserve">Alternative </w:t>
      </w:r>
      <w:r>
        <w:rPr>
          <w:b/>
        </w:rPr>
        <w:t>10.</w:t>
      </w:r>
      <w:proofErr w:type="gramEnd"/>
      <w:r>
        <w:rPr>
          <w:b/>
        </w:rPr>
        <w:t xml:space="preserve">  </w:t>
      </w:r>
      <w:r>
        <w:t xml:space="preserve">From </w:t>
      </w:r>
      <w:r w:rsidRPr="000E1342">
        <w:t>November 1 through December 15,</w:t>
      </w:r>
      <w:r>
        <w:rPr>
          <w:b/>
        </w:rPr>
        <w:t xml:space="preserve"> </w:t>
      </w:r>
      <w:r>
        <w:t>t</w:t>
      </w:r>
      <w:r w:rsidRPr="00680311">
        <w: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rsidRPr="00680311">
        <w:t xml:space="preserve"> applies </w:t>
      </w:r>
      <w:r>
        <w:t>to waters inshore of points 1-20</w:t>
      </w:r>
      <w:r w:rsidRPr="00680311">
        <w:t xml:space="preserve"> listed below </w:t>
      </w:r>
      <w:r w:rsidRPr="0084419D">
        <w:rPr>
          <w:b/>
        </w:rPr>
        <w:t>(Table 2.1.8)</w:t>
      </w:r>
      <w:r w:rsidRPr="00680311">
        <w:t xml:space="preserve">, </w:t>
      </w:r>
      <w:r>
        <w:t>approximately Georgia/South Carolina State Line</w:t>
      </w:r>
      <w:r w:rsidRPr="00680311">
        <w:t>,</w:t>
      </w:r>
      <w:r>
        <w:t xml:space="preserve"> </w:t>
      </w:r>
      <w:r w:rsidRPr="00680311">
        <w:t>to Cape Hatteras, North Carolina</w:t>
      </w:r>
      <w:r>
        <w:t xml:space="preserve"> </w:t>
      </w:r>
      <w:r w:rsidRPr="0084419D">
        <w:rPr>
          <w:b/>
        </w:rPr>
        <w:t>(Figure 2.1.9)</w:t>
      </w:r>
      <w:r>
        <w:rPr>
          <w:b/>
        </w:rPr>
        <w:t>.</w:t>
      </w:r>
    </w:p>
    <w:p w:rsidR="00AF014F" w:rsidRDefault="00AF014F" w:rsidP="00AF014F"/>
    <w:p w:rsidR="00AF014F" w:rsidRDefault="00AF014F" w:rsidP="00AF014F">
      <w:r>
        <w:t xml:space="preserve">From </w:t>
      </w:r>
      <w:r w:rsidRPr="000E1342">
        <w:t>February 15 through April 30,</w:t>
      </w:r>
      <w:r>
        <w:rPr>
          <w:b/>
        </w:rPr>
        <w:t xml:space="preserve"> </w:t>
      </w:r>
      <w:r>
        <w:t>t</w:t>
      </w:r>
      <w:r w:rsidRPr="00680311">
        <w: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rsidRPr="00680311">
        <w:t xml:space="preserve"> applies </w:t>
      </w:r>
      <w:r>
        <w:t>to waters inshore of points 1-28</w:t>
      </w:r>
      <w:r w:rsidRPr="00680311">
        <w:t xml:space="preserve"> listed below </w:t>
      </w:r>
      <w:r w:rsidRPr="0084419D">
        <w:rPr>
          <w:b/>
        </w:rPr>
        <w:t>(Table 2.1.</w:t>
      </w:r>
      <w:r>
        <w:rPr>
          <w:b/>
        </w:rPr>
        <w:t>9</w:t>
      </w:r>
      <w:r w:rsidRPr="0084419D">
        <w:rPr>
          <w:b/>
        </w:rPr>
        <w:t>)</w:t>
      </w:r>
      <w:r w:rsidRPr="00680311">
        <w:t xml:space="preserve">, </w:t>
      </w:r>
      <w:r>
        <w:t>approximately Georgia/South Carolina State Line</w:t>
      </w:r>
      <w:r w:rsidRPr="00680311">
        <w:t>,</w:t>
      </w:r>
      <w:r>
        <w:t xml:space="preserve"> </w:t>
      </w:r>
      <w:r w:rsidRPr="00680311">
        <w:t>to Cape Hatteras, North Carolina</w:t>
      </w:r>
      <w:r>
        <w:t xml:space="preserve"> </w:t>
      </w:r>
      <w:r>
        <w:rPr>
          <w:b/>
        </w:rPr>
        <w:t>(Figure 2.1.10</w:t>
      </w:r>
      <w:r w:rsidRPr="0084419D">
        <w:rPr>
          <w:b/>
        </w:rPr>
        <w:t>)</w:t>
      </w:r>
      <w:r>
        <w:rPr>
          <w:b/>
        </w:rPr>
        <w:t>.</w:t>
      </w:r>
    </w:p>
    <w:p w:rsidR="00AF014F" w:rsidRDefault="00AF014F" w:rsidP="00AF014F"/>
    <w:p w:rsidR="00AF014F" w:rsidRDefault="00AF014F" w:rsidP="00AF014F">
      <w:r>
        <w:t>From December 16 through February 14, there would be no closure off of the Carolinas.</w:t>
      </w:r>
    </w:p>
    <w:p w:rsidR="00AF014F" w:rsidRDefault="00AF014F" w:rsidP="00AF014F"/>
    <w:p w:rsidR="00AF014F" w:rsidRDefault="00AF014F" w:rsidP="00AF014F">
      <w:r>
        <w:t>From November 15 through April 15, t</w:t>
      </w:r>
      <w:r w:rsidRPr="00680311">
        <w: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rsidRPr="00680311">
        <w:t xml:space="preserve"> applies </w:t>
      </w:r>
      <w:r>
        <w:t>to waters inshore of points 20-28</w:t>
      </w:r>
      <w:r w:rsidRPr="00680311">
        <w:t xml:space="preserve"> listed below </w:t>
      </w:r>
      <w:r w:rsidRPr="0084419D">
        <w:rPr>
          <w:b/>
        </w:rPr>
        <w:t>(Table 2.1.8)</w:t>
      </w:r>
      <w:r w:rsidRPr="00680311">
        <w:t xml:space="preserve">, </w:t>
      </w:r>
      <w:r>
        <w:t>approximately Georgia/South Carolina State Line</w:t>
      </w:r>
      <w:r w:rsidRPr="00680311">
        <w:t>,</w:t>
      </w:r>
      <w:r>
        <w:t xml:space="preserve"> </w:t>
      </w:r>
      <w:r w:rsidRPr="00680311">
        <w:t xml:space="preserve">to </w:t>
      </w:r>
      <w:r>
        <w:t xml:space="preserve">approximately Daytona Beach, Florida </w:t>
      </w:r>
      <w:r w:rsidRPr="0084419D">
        <w:rPr>
          <w:b/>
        </w:rPr>
        <w:t>(Figure 2.1.9)</w:t>
      </w:r>
      <w:r>
        <w:rPr>
          <w:b/>
        </w:rPr>
        <w:t xml:space="preserve">.  </w:t>
      </w:r>
    </w:p>
    <w:p w:rsidR="00AF014F" w:rsidRPr="00680311" w:rsidRDefault="00AF014F" w:rsidP="00AF014F"/>
    <w:p w:rsidR="00AF014F" w:rsidRDefault="00AF014F" w:rsidP="00AF014F">
      <w:pPr>
        <w:autoSpaceDE w:val="0"/>
        <w:autoSpaceDN w:val="0"/>
        <w:adjustRightInd w:val="0"/>
      </w:pPr>
      <w:r>
        <w:t xml:space="preserve">In </w:t>
      </w:r>
      <w:r>
        <w:rPr>
          <w:b/>
        </w:rPr>
        <w:t>Alternative 10</w:t>
      </w:r>
      <w:r>
        <w:t xml:space="preserve">, the boundaries </w:t>
      </w:r>
      <w:proofErr w:type="spellStart"/>
      <w:r>
        <w:t>off</w:t>
      </w:r>
      <w:proofErr w:type="spellEnd"/>
      <w:r>
        <w:t xml:space="preserve"> Florida and Georgia are identical to the boundaries in </w:t>
      </w:r>
      <w:r w:rsidRPr="00A206B4">
        <w:rPr>
          <w:b/>
        </w:rPr>
        <w:t>Alternative 5</w:t>
      </w:r>
      <w:r>
        <w:t xml:space="preserve">.  </w:t>
      </w:r>
      <w:r w:rsidRPr="00680311">
        <w:t>Off North Carolina and South Carolina, the black sea bass pot closure</w:t>
      </w:r>
      <w:r w:rsidR="000242E5">
        <w:fldChar w:fldCharType="begin"/>
      </w:r>
      <w:r>
        <w:instrText xml:space="preserve"> XE "</w:instrText>
      </w:r>
      <w:r w:rsidRPr="004403F9">
        <w:rPr>
          <w:rStyle w:val="FiguretitleChar1"/>
          <w:rFonts w:eastAsiaTheme="minorHAnsi"/>
        </w:rPr>
        <w:instrText>black sea bass pot closure</w:instrText>
      </w:r>
      <w:r>
        <w:instrText xml:space="preserve">" </w:instrText>
      </w:r>
      <w:r w:rsidR="000242E5">
        <w:fldChar w:fldCharType="end"/>
      </w:r>
      <w:r w:rsidRPr="00680311">
        <w:t xml:space="preserve"> applies in the exclusive economic zone in</w:t>
      </w:r>
      <w:r>
        <w:t xml:space="preserve"> waters shallower than 20 meters from </w:t>
      </w:r>
      <w:r w:rsidRPr="000E1342">
        <w:t>November 1 through December 15</w:t>
      </w:r>
      <w:r>
        <w:t xml:space="preserve"> and 25 meters from </w:t>
      </w:r>
      <w:r w:rsidRPr="000E1342">
        <w:t xml:space="preserve">February 15 through </w:t>
      </w:r>
      <w:r>
        <w:t>April 30.</w:t>
      </w:r>
    </w:p>
    <w:p w:rsidR="00AF014F" w:rsidRDefault="00AF014F" w:rsidP="00AF014F">
      <w:pPr>
        <w:autoSpaceDE w:val="0"/>
        <w:autoSpaceDN w:val="0"/>
        <w:adjustRightInd w:val="0"/>
      </w:pPr>
    </w:p>
    <w:p w:rsidR="00AF014F" w:rsidRPr="0006079F" w:rsidRDefault="00AF014F" w:rsidP="00AF014F">
      <w:pPr>
        <w:rPr>
          <w:iCs/>
        </w:rPr>
      </w:pPr>
      <w:r w:rsidRPr="0006079F">
        <w:rPr>
          <w:iCs/>
        </w:rPr>
        <w:t>Note: Federal regulations would only apply to that portion of the area within the South Atlantic EEZ</w:t>
      </w:r>
      <w:r w:rsidR="000242E5" w:rsidRPr="0006079F">
        <w:rPr>
          <w:iCs/>
        </w:rPr>
        <w:fldChar w:fldCharType="begin"/>
      </w:r>
      <w:r w:rsidRPr="0006079F">
        <w:instrText xml:space="preserve"> XE "South Atlantic EEZ" </w:instrText>
      </w:r>
      <w:r w:rsidR="000242E5" w:rsidRPr="0006079F">
        <w:rPr>
          <w:iCs/>
        </w:rPr>
        <w:fldChar w:fldCharType="end"/>
      </w:r>
      <w:r w:rsidRPr="0006079F">
        <w:rPr>
          <w:iCs/>
        </w:rPr>
        <w:t>.  The states will be asked to implement compatible regulations within state waters.</w:t>
      </w:r>
    </w:p>
    <w:p w:rsidR="00AF014F" w:rsidRDefault="00AF014F" w:rsidP="00AF014F"/>
    <w:p w:rsidR="00AF014F" w:rsidRPr="007117B7" w:rsidRDefault="00AF014F" w:rsidP="00AF014F">
      <w:pPr>
        <w:pStyle w:val="Tabletitle"/>
      </w:pPr>
      <w:bookmarkStart w:id="15" w:name="_Toc302115477"/>
      <w:proofErr w:type="gramStart"/>
      <w:r w:rsidRPr="007117B7">
        <w:t>Table 2.1.8.</w:t>
      </w:r>
      <w:proofErr w:type="gramEnd"/>
      <w:r w:rsidRPr="007117B7">
        <w:t xml:space="preserve"> </w:t>
      </w:r>
      <w:r w:rsidRPr="007117B7">
        <w:rPr>
          <w:b w:val="0"/>
        </w:rPr>
        <w:t>Eastern boundary coordinates for the proposed black sea bass pot closure</w:t>
      </w:r>
      <w:r w:rsidR="000242E5" w:rsidRPr="007117B7">
        <w:rPr>
          <w:b w:val="0"/>
        </w:rPr>
        <w:fldChar w:fldCharType="begin"/>
      </w:r>
      <w:r w:rsidRPr="007117B7">
        <w:rPr>
          <w:b w:val="0"/>
        </w:rPr>
        <w:instrText xml:space="preserve"> XE "</w:instrText>
      </w:r>
      <w:r w:rsidRPr="007117B7">
        <w:rPr>
          <w:rStyle w:val="FiguretitleChar1"/>
          <w:rFonts w:eastAsiaTheme="minorHAnsi"/>
          <w:b w:val="0"/>
          <w:sz w:val="20"/>
          <w:szCs w:val="20"/>
        </w:rPr>
        <w:instrText>black sea bass pot closure</w:instrText>
      </w:r>
      <w:r w:rsidRPr="007117B7">
        <w:rPr>
          <w:b w:val="0"/>
        </w:rPr>
        <w:instrText xml:space="preserve">" </w:instrText>
      </w:r>
      <w:r w:rsidR="000242E5" w:rsidRPr="007117B7">
        <w:rPr>
          <w:b w:val="0"/>
        </w:rPr>
        <w:fldChar w:fldCharType="end"/>
      </w:r>
      <w:r w:rsidRPr="007117B7">
        <w:rPr>
          <w:b w:val="0"/>
        </w:rPr>
        <w:t xml:space="preserve"> in </w:t>
      </w:r>
      <w:r w:rsidRPr="007117B7">
        <w:t>Alternative 10</w:t>
      </w:r>
      <w:r w:rsidRPr="007117B7">
        <w:rPr>
          <w:b w:val="0"/>
        </w:rPr>
        <w:t xml:space="preserve"> for November 1 through December 15</w:t>
      </w:r>
      <w:r w:rsidR="005C2925">
        <w:rPr>
          <w:b w:val="0"/>
        </w:rPr>
        <w:t xml:space="preserve"> and November 15 through April 15</w:t>
      </w:r>
      <w:r w:rsidRPr="007117B7">
        <w:rPr>
          <w:b w:val="0"/>
        </w:rPr>
        <w:t>.</w:t>
      </w:r>
      <w:bookmarkEnd w:id="15"/>
      <w:r w:rsidRPr="007117B7">
        <w:t xml:space="preserve">  </w:t>
      </w:r>
    </w:p>
    <w:tbl>
      <w:tblPr>
        <w:tblStyle w:val="TableGrid"/>
        <w:tblW w:w="9198" w:type="dxa"/>
        <w:tblLook w:val="04A0"/>
      </w:tblPr>
      <w:tblGrid>
        <w:gridCol w:w="767"/>
        <w:gridCol w:w="1411"/>
        <w:gridCol w:w="2316"/>
        <w:gridCol w:w="1002"/>
        <w:gridCol w:w="1356"/>
        <w:gridCol w:w="34"/>
        <w:gridCol w:w="2312"/>
      </w:tblGrid>
      <w:tr w:rsidR="00AF014F" w:rsidRPr="00030CE6" w:rsidTr="00AF014F">
        <w:tc>
          <w:tcPr>
            <w:tcW w:w="767" w:type="dxa"/>
            <w:shd w:val="clear" w:color="auto" w:fill="D9D9D9" w:themeFill="background1" w:themeFillShade="D9"/>
          </w:tcPr>
          <w:p w:rsidR="00AF014F" w:rsidRPr="007A1983" w:rsidRDefault="00AF014F" w:rsidP="00AF014F">
            <w:pPr>
              <w:ind w:left="-242" w:right="-18"/>
              <w:jc w:val="center"/>
              <w:rPr>
                <w:rFonts w:ascii="Arial" w:hAnsi="Arial" w:cs="Arial"/>
                <w:b/>
              </w:rPr>
            </w:pPr>
            <w:r w:rsidRPr="007A1983">
              <w:rPr>
                <w:rFonts w:ascii="Arial" w:hAnsi="Arial" w:cs="Arial"/>
                <w:b/>
                <w:sz w:val="22"/>
              </w:rPr>
              <w:t>Point</w:t>
            </w:r>
          </w:p>
        </w:tc>
        <w:tc>
          <w:tcPr>
            <w:tcW w:w="1411" w:type="dxa"/>
            <w:shd w:val="clear" w:color="auto" w:fill="D9D9D9" w:themeFill="background1" w:themeFillShade="D9"/>
          </w:tcPr>
          <w:p w:rsidR="00AF014F" w:rsidRPr="007A1983" w:rsidRDefault="00AF014F" w:rsidP="00AF014F">
            <w:pPr>
              <w:ind w:left="-242" w:right="-18"/>
              <w:jc w:val="center"/>
              <w:rPr>
                <w:rFonts w:ascii="Arial" w:hAnsi="Arial" w:cs="Arial"/>
                <w:b/>
              </w:rPr>
            </w:pPr>
            <w:r w:rsidRPr="007A1983">
              <w:rPr>
                <w:rFonts w:ascii="Arial" w:hAnsi="Arial" w:cs="Arial"/>
                <w:b/>
                <w:sz w:val="22"/>
              </w:rPr>
              <w:t>N Latitude</w:t>
            </w:r>
          </w:p>
        </w:tc>
        <w:tc>
          <w:tcPr>
            <w:tcW w:w="2316" w:type="dxa"/>
            <w:shd w:val="clear" w:color="auto" w:fill="D9D9D9" w:themeFill="background1" w:themeFillShade="D9"/>
          </w:tcPr>
          <w:p w:rsidR="00AF014F" w:rsidRPr="007A1983" w:rsidRDefault="00AF014F" w:rsidP="00AF014F">
            <w:pPr>
              <w:ind w:left="-242" w:right="-18"/>
              <w:jc w:val="center"/>
              <w:rPr>
                <w:rFonts w:ascii="Arial" w:hAnsi="Arial" w:cs="Arial"/>
                <w:b/>
              </w:rPr>
            </w:pPr>
            <w:r w:rsidRPr="007A1983">
              <w:rPr>
                <w:rFonts w:ascii="Arial" w:hAnsi="Arial" w:cs="Arial"/>
                <w:b/>
                <w:sz w:val="22"/>
              </w:rPr>
              <w:t>W Longitude</w:t>
            </w:r>
          </w:p>
        </w:tc>
        <w:tc>
          <w:tcPr>
            <w:tcW w:w="1002" w:type="dxa"/>
            <w:shd w:val="clear" w:color="auto" w:fill="D9D9D9" w:themeFill="background1" w:themeFillShade="D9"/>
          </w:tcPr>
          <w:p w:rsidR="00AF014F" w:rsidRPr="007A1983" w:rsidRDefault="00AF014F" w:rsidP="00AF014F">
            <w:pPr>
              <w:ind w:left="-242" w:right="-18"/>
              <w:jc w:val="center"/>
              <w:rPr>
                <w:rFonts w:ascii="Arial" w:hAnsi="Arial" w:cs="Arial"/>
                <w:b/>
              </w:rPr>
            </w:pPr>
            <w:r w:rsidRPr="007A1983">
              <w:rPr>
                <w:rFonts w:ascii="Arial" w:hAnsi="Arial" w:cs="Arial"/>
                <w:b/>
                <w:sz w:val="22"/>
              </w:rPr>
              <w:t>Point</w:t>
            </w:r>
          </w:p>
        </w:tc>
        <w:tc>
          <w:tcPr>
            <w:tcW w:w="1390" w:type="dxa"/>
            <w:gridSpan w:val="2"/>
            <w:shd w:val="clear" w:color="auto" w:fill="D9D9D9" w:themeFill="background1" w:themeFillShade="D9"/>
          </w:tcPr>
          <w:p w:rsidR="00AF014F" w:rsidRPr="007A1983" w:rsidRDefault="00AF014F" w:rsidP="00AF014F">
            <w:pPr>
              <w:ind w:left="-242" w:right="-18"/>
              <w:jc w:val="center"/>
              <w:rPr>
                <w:rFonts w:ascii="Arial" w:hAnsi="Arial" w:cs="Arial"/>
                <w:b/>
              </w:rPr>
            </w:pPr>
            <w:r w:rsidRPr="007A1983">
              <w:rPr>
                <w:rFonts w:ascii="Arial" w:hAnsi="Arial" w:cs="Arial"/>
                <w:b/>
                <w:sz w:val="22"/>
              </w:rPr>
              <w:t>N Latitude</w:t>
            </w:r>
          </w:p>
        </w:tc>
        <w:tc>
          <w:tcPr>
            <w:tcW w:w="2312" w:type="dxa"/>
            <w:shd w:val="clear" w:color="auto" w:fill="D9D9D9" w:themeFill="background1" w:themeFillShade="D9"/>
          </w:tcPr>
          <w:p w:rsidR="00AF014F" w:rsidRPr="007A1983" w:rsidRDefault="00AF014F" w:rsidP="00AF014F">
            <w:pPr>
              <w:ind w:left="-242" w:right="-18"/>
              <w:jc w:val="center"/>
              <w:rPr>
                <w:rFonts w:ascii="Arial" w:hAnsi="Arial" w:cs="Arial"/>
                <w:b/>
              </w:rPr>
            </w:pPr>
            <w:r w:rsidRPr="007A1983">
              <w:rPr>
                <w:rFonts w:ascii="Arial" w:hAnsi="Arial" w:cs="Arial"/>
                <w:b/>
                <w:sz w:val="22"/>
              </w:rPr>
              <w:t>W Longitude</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1</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35° 15′</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State/EEZ Boundary</w:t>
            </w:r>
          </w:p>
        </w:tc>
        <w:tc>
          <w:tcPr>
            <w:tcW w:w="1002" w:type="dxa"/>
          </w:tcPr>
          <w:p w:rsidR="00AF014F" w:rsidRPr="007A1983" w:rsidRDefault="00AF014F" w:rsidP="00AF014F">
            <w:pPr>
              <w:ind w:left="-242" w:right="-18"/>
              <w:jc w:val="center"/>
              <w:rPr>
                <w:rFonts w:ascii="Arial" w:hAnsi="Arial" w:cs="Arial"/>
              </w:rPr>
            </w:pPr>
            <w:r w:rsidRPr="007A1983">
              <w:rPr>
                <w:rFonts w:ascii="Arial" w:hAnsi="Arial" w:cs="Arial"/>
                <w:sz w:val="22"/>
              </w:rPr>
              <w:t>15</w:t>
            </w:r>
          </w:p>
        </w:tc>
        <w:tc>
          <w:tcPr>
            <w:tcW w:w="1356" w:type="dxa"/>
          </w:tcPr>
          <w:p w:rsidR="00AF014F" w:rsidRPr="007A1983" w:rsidRDefault="00AF014F" w:rsidP="00AF014F">
            <w:pPr>
              <w:ind w:left="-242" w:right="-18"/>
              <w:jc w:val="center"/>
              <w:rPr>
                <w:rFonts w:ascii="Arial" w:hAnsi="Arial" w:cs="Arial"/>
              </w:rPr>
            </w:pPr>
            <w:r w:rsidRPr="007A1983">
              <w:rPr>
                <w:rFonts w:ascii="Arial" w:hAnsi="Arial" w:cs="Arial"/>
                <w:sz w:val="22"/>
              </w:rPr>
              <w:t>33° 36</w:t>
            </w:r>
            <w:r>
              <w:rPr>
                <w:rFonts w:ascii="Arial" w:hAnsi="Arial" w:cs="Arial"/>
                <w:sz w:val="22"/>
              </w:rPr>
              <w:t>’</w:t>
            </w:r>
          </w:p>
        </w:tc>
        <w:tc>
          <w:tcPr>
            <w:tcW w:w="2346" w:type="dxa"/>
            <w:gridSpan w:val="2"/>
          </w:tcPr>
          <w:p w:rsidR="00AF014F" w:rsidRPr="007A1983" w:rsidRDefault="00AF014F" w:rsidP="00AF014F">
            <w:pPr>
              <w:ind w:left="-242" w:right="-18"/>
              <w:jc w:val="center"/>
              <w:rPr>
                <w:rFonts w:ascii="Arial" w:hAnsi="Arial" w:cs="Arial"/>
              </w:rPr>
            </w:pPr>
            <w:r w:rsidRPr="007A1983">
              <w:rPr>
                <w:rFonts w:ascii="Arial" w:hAnsi="Arial" w:cs="Arial"/>
                <w:sz w:val="22"/>
              </w:rPr>
              <w:t>77° 55</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2</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35° 15</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75° 20</w:t>
            </w:r>
            <w:r>
              <w:rPr>
                <w:rFonts w:ascii="Arial" w:hAnsi="Arial" w:cs="Arial"/>
                <w:sz w:val="22"/>
              </w:rPr>
              <w:t>’</w:t>
            </w:r>
          </w:p>
        </w:tc>
        <w:tc>
          <w:tcPr>
            <w:tcW w:w="1002" w:type="dxa"/>
          </w:tcPr>
          <w:p w:rsidR="00AF014F" w:rsidRPr="007A1983" w:rsidRDefault="00AF014F" w:rsidP="00AF014F">
            <w:pPr>
              <w:ind w:left="-242" w:right="-18"/>
              <w:jc w:val="center"/>
              <w:rPr>
                <w:rFonts w:ascii="Arial" w:hAnsi="Arial" w:cs="Arial"/>
              </w:rPr>
            </w:pPr>
            <w:r w:rsidRPr="007A1983">
              <w:rPr>
                <w:rFonts w:ascii="Arial" w:hAnsi="Arial" w:cs="Arial"/>
                <w:sz w:val="22"/>
              </w:rPr>
              <w:t>16</w:t>
            </w:r>
          </w:p>
        </w:tc>
        <w:tc>
          <w:tcPr>
            <w:tcW w:w="1356" w:type="dxa"/>
          </w:tcPr>
          <w:p w:rsidR="00AF014F" w:rsidRPr="007A1983" w:rsidRDefault="00AF014F" w:rsidP="00AF014F">
            <w:pPr>
              <w:ind w:left="-242" w:right="-18"/>
              <w:jc w:val="center"/>
              <w:rPr>
                <w:rFonts w:ascii="Arial" w:hAnsi="Arial" w:cs="Arial"/>
              </w:rPr>
            </w:pPr>
            <w:r w:rsidRPr="007A1983">
              <w:rPr>
                <w:rFonts w:ascii="Arial" w:hAnsi="Arial" w:cs="Arial"/>
                <w:sz w:val="22"/>
              </w:rPr>
              <w:t>33° 34</w:t>
            </w:r>
            <w:r>
              <w:rPr>
                <w:rFonts w:ascii="Arial" w:hAnsi="Arial" w:cs="Arial"/>
                <w:sz w:val="22"/>
              </w:rPr>
              <w:t>’</w:t>
            </w:r>
          </w:p>
        </w:tc>
        <w:tc>
          <w:tcPr>
            <w:tcW w:w="2346" w:type="dxa"/>
            <w:gridSpan w:val="2"/>
          </w:tcPr>
          <w:p w:rsidR="00AF014F" w:rsidRPr="007A1983" w:rsidRDefault="00AF014F" w:rsidP="00AF014F">
            <w:pPr>
              <w:ind w:left="-242" w:right="-18"/>
              <w:jc w:val="center"/>
              <w:rPr>
                <w:rFonts w:ascii="Arial" w:hAnsi="Arial" w:cs="Arial"/>
              </w:rPr>
            </w:pPr>
            <w:r w:rsidRPr="007A1983">
              <w:rPr>
                <w:rFonts w:ascii="Arial" w:hAnsi="Arial" w:cs="Arial"/>
                <w:sz w:val="22"/>
              </w:rPr>
              <w:t>78° 28</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3</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35° 05</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75° 24</w:t>
            </w:r>
            <w:r>
              <w:rPr>
                <w:rFonts w:ascii="Arial" w:hAnsi="Arial" w:cs="Arial"/>
                <w:sz w:val="22"/>
              </w:rPr>
              <w:t>’</w:t>
            </w:r>
          </w:p>
        </w:tc>
        <w:tc>
          <w:tcPr>
            <w:tcW w:w="1002" w:type="dxa"/>
          </w:tcPr>
          <w:p w:rsidR="00AF014F" w:rsidRPr="007A1983" w:rsidRDefault="00AF014F" w:rsidP="00AF014F">
            <w:pPr>
              <w:ind w:left="-242" w:right="-18"/>
              <w:jc w:val="center"/>
              <w:rPr>
                <w:rFonts w:ascii="Arial" w:hAnsi="Arial" w:cs="Arial"/>
              </w:rPr>
            </w:pPr>
            <w:r w:rsidRPr="007A1983">
              <w:rPr>
                <w:rFonts w:ascii="Arial" w:hAnsi="Arial" w:cs="Arial"/>
                <w:sz w:val="22"/>
              </w:rPr>
              <w:t>17</w:t>
            </w:r>
          </w:p>
        </w:tc>
        <w:tc>
          <w:tcPr>
            <w:tcW w:w="1356" w:type="dxa"/>
          </w:tcPr>
          <w:p w:rsidR="00AF014F" w:rsidRPr="007A1983" w:rsidRDefault="00AF014F" w:rsidP="00AF014F">
            <w:pPr>
              <w:ind w:left="-242" w:right="-18"/>
              <w:jc w:val="center"/>
              <w:rPr>
                <w:rFonts w:ascii="Arial" w:hAnsi="Arial" w:cs="Arial"/>
              </w:rPr>
            </w:pPr>
            <w:r w:rsidRPr="007A1983">
              <w:rPr>
                <w:rFonts w:ascii="Arial" w:hAnsi="Arial" w:cs="Arial"/>
                <w:sz w:val="22"/>
              </w:rPr>
              <w:t>32° 59</w:t>
            </w:r>
            <w:r>
              <w:rPr>
                <w:rFonts w:ascii="Arial" w:hAnsi="Arial" w:cs="Arial"/>
                <w:sz w:val="22"/>
              </w:rPr>
              <w:t>’</w:t>
            </w:r>
          </w:p>
        </w:tc>
        <w:tc>
          <w:tcPr>
            <w:tcW w:w="2346" w:type="dxa"/>
            <w:gridSpan w:val="2"/>
          </w:tcPr>
          <w:p w:rsidR="00AF014F" w:rsidRPr="007A1983" w:rsidRDefault="00AF014F" w:rsidP="00AF014F">
            <w:pPr>
              <w:ind w:left="-242" w:right="-18"/>
              <w:jc w:val="center"/>
              <w:rPr>
                <w:rFonts w:ascii="Arial" w:hAnsi="Arial" w:cs="Arial"/>
              </w:rPr>
            </w:pPr>
            <w:r w:rsidRPr="007A1983">
              <w:rPr>
                <w:rFonts w:ascii="Arial" w:hAnsi="Arial" w:cs="Arial"/>
                <w:sz w:val="22"/>
              </w:rPr>
              <w:t>78° 52</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4</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35° 08</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75° 38</w:t>
            </w:r>
            <w:r>
              <w:rPr>
                <w:rFonts w:ascii="Arial" w:hAnsi="Arial" w:cs="Arial"/>
                <w:sz w:val="22"/>
              </w:rPr>
              <w:t>’</w:t>
            </w:r>
          </w:p>
        </w:tc>
        <w:tc>
          <w:tcPr>
            <w:tcW w:w="1002" w:type="dxa"/>
          </w:tcPr>
          <w:p w:rsidR="00AF014F" w:rsidRDefault="00AF014F" w:rsidP="00AF014F">
            <w:pPr>
              <w:ind w:left="-242" w:right="-18"/>
              <w:jc w:val="center"/>
              <w:rPr>
                <w:rFonts w:ascii="Arial" w:hAnsi="Arial" w:cs="Arial"/>
              </w:rPr>
            </w:pPr>
            <w:r w:rsidRPr="007A1983">
              <w:rPr>
                <w:rFonts w:ascii="Arial" w:hAnsi="Arial" w:cs="Arial"/>
                <w:sz w:val="22"/>
              </w:rPr>
              <w:t>18</w:t>
            </w:r>
          </w:p>
        </w:tc>
        <w:tc>
          <w:tcPr>
            <w:tcW w:w="1356" w:type="dxa"/>
          </w:tcPr>
          <w:p w:rsidR="00AF014F" w:rsidRDefault="00AF014F" w:rsidP="00AF014F">
            <w:pPr>
              <w:ind w:left="-242" w:right="-18"/>
              <w:jc w:val="center"/>
              <w:rPr>
                <w:rFonts w:ascii="Arial" w:hAnsi="Arial" w:cs="Arial"/>
              </w:rPr>
            </w:pPr>
            <w:r w:rsidRPr="007A1983">
              <w:rPr>
                <w:rFonts w:ascii="Arial" w:hAnsi="Arial" w:cs="Arial"/>
                <w:sz w:val="22"/>
              </w:rPr>
              <w:t>32° 59</w:t>
            </w:r>
            <w:r>
              <w:rPr>
                <w:rFonts w:ascii="Arial" w:hAnsi="Arial" w:cs="Arial"/>
                <w:sz w:val="22"/>
              </w:rPr>
              <w:t>’</w:t>
            </w:r>
          </w:p>
        </w:tc>
        <w:tc>
          <w:tcPr>
            <w:tcW w:w="2346" w:type="dxa"/>
            <w:gridSpan w:val="2"/>
          </w:tcPr>
          <w:p w:rsidR="00AF014F" w:rsidRDefault="00AF014F" w:rsidP="00AF014F">
            <w:pPr>
              <w:ind w:left="-242" w:right="-18"/>
              <w:jc w:val="center"/>
              <w:rPr>
                <w:rFonts w:ascii="Arial" w:hAnsi="Arial" w:cs="Arial"/>
              </w:rPr>
            </w:pPr>
            <w:r w:rsidRPr="007A1983">
              <w:rPr>
                <w:rFonts w:ascii="Arial" w:hAnsi="Arial" w:cs="Arial"/>
                <w:sz w:val="22"/>
              </w:rPr>
              <w:t>79° 02</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5</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35° 04</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75° 52</w:t>
            </w:r>
            <w:r>
              <w:rPr>
                <w:rFonts w:ascii="Arial" w:hAnsi="Arial" w:cs="Arial"/>
                <w:sz w:val="22"/>
              </w:rPr>
              <w:t>’</w:t>
            </w:r>
          </w:p>
        </w:tc>
        <w:tc>
          <w:tcPr>
            <w:tcW w:w="1002" w:type="dxa"/>
          </w:tcPr>
          <w:p w:rsidR="00AF014F" w:rsidRDefault="00AF014F" w:rsidP="00AF014F">
            <w:pPr>
              <w:ind w:left="-242" w:right="-18"/>
              <w:jc w:val="center"/>
              <w:rPr>
                <w:rFonts w:ascii="Arial" w:hAnsi="Arial" w:cs="Arial"/>
              </w:rPr>
            </w:pPr>
            <w:r w:rsidRPr="007A1983">
              <w:rPr>
                <w:rFonts w:ascii="Arial" w:hAnsi="Arial" w:cs="Arial"/>
                <w:sz w:val="22"/>
              </w:rPr>
              <w:t>19</w:t>
            </w:r>
          </w:p>
        </w:tc>
        <w:tc>
          <w:tcPr>
            <w:tcW w:w="1356" w:type="dxa"/>
          </w:tcPr>
          <w:p w:rsidR="00AF014F" w:rsidRDefault="00AF014F" w:rsidP="00AF014F">
            <w:pPr>
              <w:ind w:left="-242" w:right="-18"/>
              <w:jc w:val="center"/>
              <w:rPr>
                <w:rFonts w:ascii="Arial" w:hAnsi="Arial" w:cs="Arial"/>
              </w:rPr>
            </w:pPr>
            <w:r w:rsidRPr="007A1983">
              <w:rPr>
                <w:rFonts w:ascii="Arial" w:hAnsi="Arial" w:cs="Arial"/>
                <w:sz w:val="22"/>
              </w:rPr>
              <w:t>32° 31</w:t>
            </w:r>
            <w:r>
              <w:rPr>
                <w:rFonts w:ascii="Arial" w:hAnsi="Arial" w:cs="Arial"/>
                <w:sz w:val="22"/>
              </w:rPr>
              <w:t>’</w:t>
            </w:r>
          </w:p>
        </w:tc>
        <w:tc>
          <w:tcPr>
            <w:tcW w:w="2346" w:type="dxa"/>
            <w:gridSpan w:val="2"/>
          </w:tcPr>
          <w:p w:rsidR="00AF014F" w:rsidRDefault="00AF014F" w:rsidP="00AF014F">
            <w:pPr>
              <w:ind w:left="-242" w:right="-18"/>
              <w:jc w:val="center"/>
              <w:rPr>
                <w:rFonts w:ascii="Arial" w:hAnsi="Arial" w:cs="Arial"/>
              </w:rPr>
            </w:pPr>
            <w:r w:rsidRPr="007A1983">
              <w:rPr>
                <w:rFonts w:ascii="Arial" w:hAnsi="Arial" w:cs="Arial"/>
                <w:sz w:val="22"/>
              </w:rPr>
              <w:t>79° 30</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6</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34° 51</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76° 11</w:t>
            </w:r>
            <w:r>
              <w:rPr>
                <w:rFonts w:ascii="Arial" w:hAnsi="Arial" w:cs="Arial"/>
                <w:sz w:val="22"/>
              </w:rPr>
              <w:t>’</w:t>
            </w:r>
          </w:p>
        </w:tc>
        <w:tc>
          <w:tcPr>
            <w:tcW w:w="1002" w:type="dxa"/>
          </w:tcPr>
          <w:p w:rsidR="00AF014F" w:rsidRDefault="00AF014F" w:rsidP="00AF014F">
            <w:pPr>
              <w:ind w:left="-242" w:right="-18"/>
              <w:jc w:val="center"/>
              <w:rPr>
                <w:rFonts w:ascii="Arial" w:hAnsi="Arial" w:cs="Arial"/>
              </w:rPr>
            </w:pPr>
            <w:r w:rsidRPr="007A1983">
              <w:rPr>
                <w:rFonts w:ascii="Arial" w:hAnsi="Arial" w:cs="Arial"/>
                <w:sz w:val="22"/>
              </w:rPr>
              <w:t>20</w:t>
            </w:r>
          </w:p>
        </w:tc>
        <w:tc>
          <w:tcPr>
            <w:tcW w:w="1356" w:type="dxa"/>
          </w:tcPr>
          <w:p w:rsidR="00AF014F" w:rsidRDefault="00AF014F" w:rsidP="00AF014F">
            <w:pPr>
              <w:ind w:left="-242" w:right="-18"/>
              <w:jc w:val="center"/>
              <w:rPr>
                <w:rFonts w:ascii="Arial" w:hAnsi="Arial" w:cs="Arial"/>
              </w:rPr>
            </w:pPr>
            <w:r w:rsidRPr="007A1983">
              <w:rPr>
                <w:rFonts w:ascii="Arial" w:hAnsi="Arial" w:cs="Arial"/>
                <w:sz w:val="22"/>
              </w:rPr>
              <w:t>31° 57</w:t>
            </w:r>
            <w:r>
              <w:rPr>
                <w:rFonts w:ascii="Arial" w:hAnsi="Arial" w:cs="Arial"/>
                <w:sz w:val="22"/>
              </w:rPr>
              <w:t>’</w:t>
            </w:r>
          </w:p>
        </w:tc>
        <w:tc>
          <w:tcPr>
            <w:tcW w:w="2346" w:type="dxa"/>
            <w:gridSpan w:val="2"/>
          </w:tcPr>
          <w:p w:rsidR="00AF014F" w:rsidRDefault="00AF014F" w:rsidP="00AF014F">
            <w:pPr>
              <w:ind w:left="-242" w:right="-18"/>
              <w:jc w:val="center"/>
              <w:rPr>
                <w:rFonts w:ascii="Arial" w:hAnsi="Arial" w:cs="Arial"/>
              </w:rPr>
            </w:pPr>
            <w:r w:rsidRPr="007A1983">
              <w:rPr>
                <w:rFonts w:ascii="Arial" w:hAnsi="Arial" w:cs="Arial"/>
                <w:sz w:val="22"/>
              </w:rPr>
              <w:t>80° 27</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7</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34° 36</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76° 24</w:t>
            </w:r>
            <w:r>
              <w:rPr>
                <w:rFonts w:ascii="Arial" w:hAnsi="Arial" w:cs="Arial"/>
                <w:sz w:val="22"/>
              </w:rPr>
              <w:t>’</w:t>
            </w:r>
          </w:p>
        </w:tc>
        <w:tc>
          <w:tcPr>
            <w:tcW w:w="1002" w:type="dxa"/>
          </w:tcPr>
          <w:p w:rsidR="00AF014F" w:rsidRPr="007A1983" w:rsidRDefault="00AF014F" w:rsidP="00AF014F">
            <w:pPr>
              <w:ind w:left="-242" w:right="-18"/>
              <w:jc w:val="center"/>
              <w:rPr>
                <w:rFonts w:ascii="Arial" w:hAnsi="Arial" w:cs="Arial"/>
              </w:rPr>
            </w:pPr>
            <w:r>
              <w:rPr>
                <w:rFonts w:ascii="Arial" w:hAnsi="Arial" w:cs="Arial"/>
                <w:sz w:val="22"/>
              </w:rPr>
              <w:t>2</w:t>
            </w:r>
            <w:r w:rsidRPr="007A1983">
              <w:rPr>
                <w:rFonts w:ascii="Arial" w:hAnsi="Arial" w:cs="Arial"/>
                <w:sz w:val="22"/>
              </w:rPr>
              <w:t>1</w:t>
            </w:r>
          </w:p>
        </w:tc>
        <w:tc>
          <w:tcPr>
            <w:tcW w:w="1356" w:type="dxa"/>
          </w:tcPr>
          <w:p w:rsidR="00AF014F" w:rsidRPr="007A1983" w:rsidRDefault="00AF014F" w:rsidP="00AF014F">
            <w:pPr>
              <w:ind w:left="-242" w:right="-18"/>
              <w:jc w:val="center"/>
              <w:rPr>
                <w:rFonts w:ascii="Arial" w:hAnsi="Arial" w:cs="Arial"/>
              </w:rPr>
            </w:pPr>
            <w:r w:rsidRPr="007A1983">
              <w:rPr>
                <w:rFonts w:ascii="Arial" w:hAnsi="Arial" w:cs="Arial"/>
                <w:sz w:val="22"/>
              </w:rPr>
              <w:t>31° 42</w:t>
            </w:r>
            <w:r>
              <w:rPr>
                <w:rFonts w:ascii="Arial" w:hAnsi="Arial" w:cs="Arial"/>
                <w:sz w:val="22"/>
              </w:rPr>
              <w:t>’</w:t>
            </w:r>
          </w:p>
        </w:tc>
        <w:tc>
          <w:tcPr>
            <w:tcW w:w="2346" w:type="dxa"/>
            <w:gridSpan w:val="2"/>
          </w:tcPr>
          <w:p w:rsidR="00AF014F" w:rsidRPr="007A1983" w:rsidRDefault="00AF014F" w:rsidP="00AF014F">
            <w:pPr>
              <w:ind w:left="-242" w:right="-18"/>
              <w:jc w:val="center"/>
              <w:rPr>
                <w:rFonts w:ascii="Arial" w:hAnsi="Arial" w:cs="Arial"/>
              </w:rPr>
            </w:pPr>
            <w:r w:rsidRPr="007A1983">
              <w:rPr>
                <w:rFonts w:ascii="Arial" w:hAnsi="Arial" w:cs="Arial"/>
                <w:sz w:val="22"/>
              </w:rPr>
              <w:t>80° 24</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8</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34° 24</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76° 19</w:t>
            </w:r>
            <w:r>
              <w:rPr>
                <w:rFonts w:ascii="Arial" w:hAnsi="Arial" w:cs="Arial"/>
                <w:sz w:val="22"/>
              </w:rPr>
              <w:t>’</w:t>
            </w:r>
          </w:p>
        </w:tc>
        <w:tc>
          <w:tcPr>
            <w:tcW w:w="1002" w:type="dxa"/>
          </w:tcPr>
          <w:p w:rsidR="00AF014F" w:rsidRPr="007A1983" w:rsidRDefault="00AF014F" w:rsidP="00AF014F">
            <w:pPr>
              <w:ind w:left="-242" w:right="-18"/>
              <w:jc w:val="center"/>
              <w:rPr>
                <w:rFonts w:ascii="Arial" w:hAnsi="Arial" w:cs="Arial"/>
              </w:rPr>
            </w:pPr>
            <w:r>
              <w:rPr>
                <w:rFonts w:ascii="Arial" w:hAnsi="Arial" w:cs="Arial"/>
                <w:sz w:val="22"/>
              </w:rPr>
              <w:t>2</w:t>
            </w:r>
            <w:r w:rsidRPr="007A1983">
              <w:rPr>
                <w:rFonts w:ascii="Arial" w:hAnsi="Arial" w:cs="Arial"/>
                <w:sz w:val="22"/>
              </w:rPr>
              <w:t>2</w:t>
            </w:r>
          </w:p>
        </w:tc>
        <w:tc>
          <w:tcPr>
            <w:tcW w:w="1356" w:type="dxa"/>
          </w:tcPr>
          <w:p w:rsidR="00AF014F" w:rsidRPr="007A1983" w:rsidRDefault="00AF014F" w:rsidP="00AF014F">
            <w:pPr>
              <w:ind w:left="-242" w:right="-18"/>
              <w:jc w:val="center"/>
              <w:rPr>
                <w:rFonts w:ascii="Arial" w:hAnsi="Arial" w:cs="Arial"/>
              </w:rPr>
            </w:pPr>
            <w:r w:rsidRPr="007A1983">
              <w:rPr>
                <w:rFonts w:ascii="Arial" w:hAnsi="Arial" w:cs="Arial"/>
                <w:sz w:val="22"/>
              </w:rPr>
              <w:t>31º 31</w:t>
            </w:r>
            <w:r>
              <w:rPr>
                <w:rFonts w:ascii="Arial" w:hAnsi="Arial" w:cs="Arial"/>
                <w:sz w:val="22"/>
              </w:rPr>
              <w:t>’</w:t>
            </w:r>
          </w:p>
        </w:tc>
        <w:tc>
          <w:tcPr>
            <w:tcW w:w="2346" w:type="dxa"/>
            <w:gridSpan w:val="2"/>
          </w:tcPr>
          <w:p w:rsidR="00AF014F" w:rsidRPr="007A1983" w:rsidRDefault="00AF014F" w:rsidP="00AF014F">
            <w:pPr>
              <w:ind w:left="-242" w:right="-18"/>
              <w:jc w:val="center"/>
              <w:rPr>
                <w:rFonts w:ascii="Arial" w:hAnsi="Arial" w:cs="Arial"/>
              </w:rPr>
            </w:pPr>
            <w:r w:rsidRPr="007A1983">
              <w:rPr>
                <w:rFonts w:ascii="Arial" w:hAnsi="Arial" w:cs="Arial"/>
                <w:sz w:val="22"/>
              </w:rPr>
              <w:t>80º 33</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9</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34° 21</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76° 27</w:t>
            </w:r>
            <w:r>
              <w:rPr>
                <w:rFonts w:ascii="Arial" w:hAnsi="Arial" w:cs="Arial"/>
                <w:sz w:val="22"/>
              </w:rPr>
              <w:t>’</w:t>
            </w:r>
          </w:p>
        </w:tc>
        <w:tc>
          <w:tcPr>
            <w:tcW w:w="1002" w:type="dxa"/>
          </w:tcPr>
          <w:p w:rsidR="00AF014F" w:rsidRDefault="00AF014F" w:rsidP="00AF014F">
            <w:pPr>
              <w:ind w:left="-242" w:right="-18"/>
              <w:jc w:val="center"/>
              <w:rPr>
                <w:rFonts w:ascii="Arial" w:hAnsi="Arial" w:cs="Arial"/>
              </w:rPr>
            </w:pPr>
            <w:r>
              <w:rPr>
                <w:rFonts w:ascii="Arial" w:hAnsi="Arial" w:cs="Arial"/>
                <w:sz w:val="22"/>
              </w:rPr>
              <w:t>2</w:t>
            </w:r>
            <w:r w:rsidRPr="007A1983">
              <w:rPr>
                <w:rFonts w:ascii="Arial" w:hAnsi="Arial" w:cs="Arial"/>
                <w:sz w:val="22"/>
              </w:rPr>
              <w:t>3</w:t>
            </w:r>
          </w:p>
        </w:tc>
        <w:tc>
          <w:tcPr>
            <w:tcW w:w="1356" w:type="dxa"/>
          </w:tcPr>
          <w:p w:rsidR="00AF014F" w:rsidRDefault="00AF014F" w:rsidP="00AF014F">
            <w:pPr>
              <w:ind w:left="-242" w:right="-18"/>
              <w:jc w:val="center"/>
              <w:rPr>
                <w:rFonts w:ascii="Arial" w:hAnsi="Arial" w:cs="Arial"/>
              </w:rPr>
            </w:pPr>
            <w:r w:rsidRPr="007A1983">
              <w:rPr>
                <w:rFonts w:ascii="Arial" w:hAnsi="Arial" w:cs="Arial"/>
                <w:sz w:val="22"/>
              </w:rPr>
              <w:t>30º 43</w:t>
            </w:r>
            <w:r>
              <w:rPr>
                <w:rFonts w:ascii="Arial" w:hAnsi="Arial" w:cs="Arial"/>
                <w:sz w:val="22"/>
              </w:rPr>
              <w:t>’</w:t>
            </w:r>
          </w:p>
        </w:tc>
        <w:tc>
          <w:tcPr>
            <w:tcW w:w="2346" w:type="dxa"/>
            <w:gridSpan w:val="2"/>
          </w:tcPr>
          <w:p w:rsidR="00AF014F" w:rsidRDefault="00AF014F" w:rsidP="00AF014F">
            <w:pPr>
              <w:ind w:left="-242" w:right="-18"/>
              <w:jc w:val="center"/>
              <w:rPr>
                <w:rFonts w:ascii="Arial" w:hAnsi="Arial" w:cs="Arial"/>
              </w:rPr>
            </w:pPr>
            <w:r w:rsidRPr="007A1983">
              <w:rPr>
                <w:rFonts w:ascii="Arial" w:hAnsi="Arial" w:cs="Arial"/>
                <w:sz w:val="22"/>
              </w:rPr>
              <w:t>80º 49</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10</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34° 33</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76° 48</w:t>
            </w:r>
            <w:r>
              <w:rPr>
                <w:rFonts w:ascii="Arial" w:hAnsi="Arial" w:cs="Arial"/>
                <w:sz w:val="22"/>
              </w:rPr>
              <w:t>’</w:t>
            </w:r>
          </w:p>
        </w:tc>
        <w:tc>
          <w:tcPr>
            <w:tcW w:w="1002" w:type="dxa"/>
          </w:tcPr>
          <w:p w:rsidR="00AF014F" w:rsidRDefault="00AF014F" w:rsidP="00AF014F">
            <w:pPr>
              <w:ind w:left="-242" w:right="-18"/>
              <w:jc w:val="center"/>
              <w:rPr>
                <w:rFonts w:ascii="Arial" w:hAnsi="Arial" w:cs="Arial"/>
              </w:rPr>
            </w:pPr>
            <w:r>
              <w:rPr>
                <w:rFonts w:ascii="Arial" w:hAnsi="Arial" w:cs="Arial"/>
                <w:sz w:val="22"/>
              </w:rPr>
              <w:t>2</w:t>
            </w:r>
            <w:r w:rsidRPr="007A1983">
              <w:rPr>
                <w:rFonts w:ascii="Arial" w:hAnsi="Arial" w:cs="Arial"/>
                <w:sz w:val="22"/>
              </w:rPr>
              <w:t>4</w:t>
            </w:r>
          </w:p>
        </w:tc>
        <w:tc>
          <w:tcPr>
            <w:tcW w:w="1356" w:type="dxa"/>
          </w:tcPr>
          <w:p w:rsidR="00AF014F" w:rsidRDefault="00AF014F" w:rsidP="00AF014F">
            <w:pPr>
              <w:ind w:left="-242" w:right="-18"/>
              <w:jc w:val="center"/>
              <w:rPr>
                <w:rFonts w:ascii="Arial" w:hAnsi="Arial" w:cs="Arial"/>
              </w:rPr>
            </w:pPr>
            <w:r w:rsidRPr="007A1983">
              <w:rPr>
                <w:rFonts w:ascii="Arial" w:hAnsi="Arial" w:cs="Arial"/>
                <w:sz w:val="22"/>
              </w:rPr>
              <w:t>30º 30</w:t>
            </w:r>
            <w:r>
              <w:rPr>
                <w:rFonts w:ascii="Arial" w:hAnsi="Arial" w:cs="Arial"/>
                <w:sz w:val="22"/>
              </w:rPr>
              <w:t>’</w:t>
            </w:r>
          </w:p>
        </w:tc>
        <w:tc>
          <w:tcPr>
            <w:tcW w:w="2346" w:type="dxa"/>
            <w:gridSpan w:val="2"/>
          </w:tcPr>
          <w:p w:rsidR="00AF014F" w:rsidRDefault="00AF014F" w:rsidP="00AF014F">
            <w:pPr>
              <w:ind w:left="-242" w:right="-18"/>
              <w:jc w:val="center"/>
              <w:rPr>
                <w:rFonts w:ascii="Arial" w:hAnsi="Arial" w:cs="Arial"/>
              </w:rPr>
            </w:pPr>
            <w:r w:rsidRPr="007A1983">
              <w:rPr>
                <w:rFonts w:ascii="Arial" w:hAnsi="Arial" w:cs="Arial"/>
                <w:sz w:val="22"/>
              </w:rPr>
              <w:t>81º 01</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11</w:t>
            </w:r>
          </w:p>
        </w:tc>
        <w:tc>
          <w:tcPr>
            <w:tcW w:w="1411" w:type="dxa"/>
          </w:tcPr>
          <w:p w:rsidR="00AF014F" w:rsidRPr="007A1983" w:rsidDel="00596B8E" w:rsidRDefault="00AF014F" w:rsidP="00AF014F">
            <w:pPr>
              <w:ind w:left="-242" w:right="-18"/>
              <w:jc w:val="center"/>
              <w:rPr>
                <w:rFonts w:ascii="Arial" w:hAnsi="Arial" w:cs="Arial"/>
              </w:rPr>
            </w:pPr>
            <w:r w:rsidRPr="007A1983">
              <w:rPr>
                <w:rFonts w:ascii="Arial" w:hAnsi="Arial" w:cs="Arial"/>
                <w:sz w:val="22"/>
              </w:rPr>
              <w:t>34° 16</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77° 25</w:t>
            </w:r>
            <w:r>
              <w:rPr>
                <w:rFonts w:ascii="Arial" w:hAnsi="Arial" w:cs="Arial"/>
                <w:sz w:val="22"/>
              </w:rPr>
              <w:t>’</w:t>
            </w:r>
          </w:p>
        </w:tc>
        <w:tc>
          <w:tcPr>
            <w:tcW w:w="1002" w:type="dxa"/>
          </w:tcPr>
          <w:p w:rsidR="00AF014F" w:rsidRPr="007A1983" w:rsidRDefault="00AF014F" w:rsidP="00AF014F">
            <w:pPr>
              <w:ind w:left="-242" w:right="-18"/>
              <w:jc w:val="center"/>
              <w:rPr>
                <w:rFonts w:ascii="Arial" w:hAnsi="Arial" w:cs="Arial"/>
              </w:rPr>
            </w:pPr>
            <w:r>
              <w:rPr>
                <w:rFonts w:ascii="Arial" w:hAnsi="Arial" w:cs="Arial"/>
                <w:sz w:val="22"/>
              </w:rPr>
              <w:t>2</w:t>
            </w:r>
            <w:r w:rsidRPr="007A1983">
              <w:rPr>
                <w:rFonts w:ascii="Arial" w:hAnsi="Arial" w:cs="Arial"/>
                <w:sz w:val="22"/>
              </w:rPr>
              <w:t>5</w:t>
            </w:r>
          </w:p>
        </w:tc>
        <w:tc>
          <w:tcPr>
            <w:tcW w:w="1356" w:type="dxa"/>
          </w:tcPr>
          <w:p w:rsidR="00AF014F" w:rsidRPr="007A1983" w:rsidRDefault="00AF014F" w:rsidP="00AF014F">
            <w:pPr>
              <w:ind w:left="-242" w:right="-18"/>
              <w:jc w:val="center"/>
              <w:rPr>
                <w:rFonts w:ascii="Arial" w:hAnsi="Arial" w:cs="Arial"/>
              </w:rPr>
            </w:pPr>
            <w:r w:rsidRPr="007A1983">
              <w:rPr>
                <w:rFonts w:ascii="Arial" w:hAnsi="Arial" w:cs="Arial"/>
                <w:sz w:val="22"/>
              </w:rPr>
              <w:t>29º 45</w:t>
            </w:r>
            <w:r>
              <w:rPr>
                <w:rFonts w:ascii="Arial" w:hAnsi="Arial" w:cs="Arial"/>
                <w:sz w:val="22"/>
              </w:rPr>
              <w:t>’</w:t>
            </w:r>
          </w:p>
        </w:tc>
        <w:tc>
          <w:tcPr>
            <w:tcW w:w="2346" w:type="dxa"/>
            <w:gridSpan w:val="2"/>
          </w:tcPr>
          <w:p w:rsidR="00AF014F" w:rsidRPr="007A1983" w:rsidRDefault="00AF014F" w:rsidP="00AF014F">
            <w:pPr>
              <w:ind w:left="-242" w:right="-18"/>
              <w:jc w:val="center"/>
              <w:rPr>
                <w:rFonts w:ascii="Arial" w:hAnsi="Arial" w:cs="Arial"/>
              </w:rPr>
            </w:pPr>
            <w:r w:rsidRPr="007A1983">
              <w:rPr>
                <w:rFonts w:ascii="Arial" w:hAnsi="Arial" w:cs="Arial"/>
                <w:sz w:val="22"/>
              </w:rPr>
              <w:t>81º 01</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12</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33° 44</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77° 46</w:t>
            </w:r>
            <w:r>
              <w:rPr>
                <w:rFonts w:ascii="Arial" w:hAnsi="Arial" w:cs="Arial"/>
                <w:sz w:val="22"/>
              </w:rPr>
              <w:t>’</w:t>
            </w:r>
          </w:p>
        </w:tc>
        <w:tc>
          <w:tcPr>
            <w:tcW w:w="1002" w:type="dxa"/>
          </w:tcPr>
          <w:p w:rsidR="00AF014F" w:rsidRPr="007A1983" w:rsidRDefault="00AF014F" w:rsidP="00AF014F">
            <w:pPr>
              <w:ind w:left="-242" w:right="-18"/>
              <w:jc w:val="center"/>
              <w:rPr>
                <w:rFonts w:ascii="Arial" w:hAnsi="Arial" w:cs="Arial"/>
              </w:rPr>
            </w:pPr>
            <w:r>
              <w:rPr>
                <w:rFonts w:ascii="Arial" w:hAnsi="Arial" w:cs="Arial"/>
                <w:sz w:val="22"/>
              </w:rPr>
              <w:t>2</w:t>
            </w:r>
            <w:r w:rsidRPr="007A1983">
              <w:rPr>
                <w:rFonts w:ascii="Arial" w:hAnsi="Arial" w:cs="Arial"/>
                <w:sz w:val="22"/>
              </w:rPr>
              <w:t>6</w:t>
            </w:r>
          </w:p>
        </w:tc>
        <w:tc>
          <w:tcPr>
            <w:tcW w:w="1356" w:type="dxa"/>
          </w:tcPr>
          <w:p w:rsidR="00AF014F" w:rsidRPr="007A1983" w:rsidRDefault="00AF014F" w:rsidP="00AF014F">
            <w:pPr>
              <w:ind w:left="-242" w:right="-18"/>
              <w:jc w:val="center"/>
              <w:rPr>
                <w:rFonts w:ascii="Arial" w:hAnsi="Arial" w:cs="Arial"/>
              </w:rPr>
            </w:pPr>
            <w:r w:rsidRPr="007A1983">
              <w:rPr>
                <w:rFonts w:ascii="Arial" w:hAnsi="Arial" w:cs="Arial"/>
                <w:sz w:val="22"/>
              </w:rPr>
              <w:t>29º 31</w:t>
            </w:r>
            <w:r>
              <w:rPr>
                <w:rFonts w:ascii="Arial" w:hAnsi="Arial" w:cs="Arial"/>
                <w:sz w:val="22"/>
              </w:rPr>
              <w:t>’</w:t>
            </w:r>
          </w:p>
        </w:tc>
        <w:tc>
          <w:tcPr>
            <w:tcW w:w="2346" w:type="dxa"/>
            <w:gridSpan w:val="2"/>
          </w:tcPr>
          <w:p w:rsidR="00AF014F" w:rsidRPr="007A1983" w:rsidRDefault="00AF014F" w:rsidP="00AF014F">
            <w:pPr>
              <w:ind w:left="-242" w:right="-18"/>
              <w:jc w:val="center"/>
              <w:rPr>
                <w:rFonts w:ascii="Arial" w:hAnsi="Arial" w:cs="Arial"/>
              </w:rPr>
            </w:pPr>
            <w:r w:rsidRPr="007A1983">
              <w:rPr>
                <w:rFonts w:ascii="Arial" w:hAnsi="Arial" w:cs="Arial"/>
                <w:sz w:val="22"/>
              </w:rPr>
              <w:t>80º 58</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13</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33° 30</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77° 31</w:t>
            </w:r>
            <w:r>
              <w:rPr>
                <w:rFonts w:ascii="Arial" w:hAnsi="Arial" w:cs="Arial"/>
                <w:sz w:val="22"/>
              </w:rPr>
              <w:t>’</w:t>
            </w:r>
          </w:p>
        </w:tc>
        <w:tc>
          <w:tcPr>
            <w:tcW w:w="1002" w:type="dxa"/>
          </w:tcPr>
          <w:p w:rsidR="00AF014F" w:rsidRPr="007A1983" w:rsidRDefault="00AF014F" w:rsidP="00AF014F">
            <w:pPr>
              <w:ind w:left="-242" w:right="-18"/>
              <w:jc w:val="center"/>
              <w:rPr>
                <w:rFonts w:ascii="Arial" w:hAnsi="Arial" w:cs="Arial"/>
              </w:rPr>
            </w:pPr>
            <w:r>
              <w:rPr>
                <w:rFonts w:ascii="Arial" w:hAnsi="Arial" w:cs="Arial"/>
                <w:sz w:val="22"/>
              </w:rPr>
              <w:t>2</w:t>
            </w:r>
            <w:r w:rsidRPr="007A1983">
              <w:rPr>
                <w:rFonts w:ascii="Arial" w:hAnsi="Arial" w:cs="Arial"/>
                <w:sz w:val="22"/>
              </w:rPr>
              <w:t>7</w:t>
            </w:r>
          </w:p>
        </w:tc>
        <w:tc>
          <w:tcPr>
            <w:tcW w:w="1356" w:type="dxa"/>
          </w:tcPr>
          <w:p w:rsidR="00AF014F" w:rsidRPr="007A1983" w:rsidRDefault="00AF014F" w:rsidP="00AF014F">
            <w:pPr>
              <w:ind w:left="-242" w:right="-18"/>
              <w:jc w:val="center"/>
              <w:rPr>
                <w:rFonts w:ascii="Arial" w:hAnsi="Arial" w:cs="Arial"/>
              </w:rPr>
            </w:pPr>
            <w:r w:rsidRPr="007A1983">
              <w:rPr>
                <w:rFonts w:ascii="Arial" w:hAnsi="Arial" w:cs="Arial"/>
                <w:sz w:val="22"/>
              </w:rPr>
              <w:t>29º 13</w:t>
            </w:r>
            <w:r>
              <w:rPr>
                <w:rFonts w:ascii="Arial" w:hAnsi="Arial" w:cs="Arial"/>
                <w:sz w:val="22"/>
              </w:rPr>
              <w:t>’</w:t>
            </w:r>
          </w:p>
        </w:tc>
        <w:tc>
          <w:tcPr>
            <w:tcW w:w="2346" w:type="dxa"/>
            <w:gridSpan w:val="2"/>
          </w:tcPr>
          <w:p w:rsidR="00AF014F" w:rsidRPr="007A1983" w:rsidRDefault="00AF014F" w:rsidP="00AF014F">
            <w:pPr>
              <w:ind w:left="-242" w:right="-18"/>
              <w:jc w:val="center"/>
              <w:rPr>
                <w:rFonts w:ascii="Arial" w:hAnsi="Arial" w:cs="Arial"/>
              </w:rPr>
            </w:pPr>
            <w:r w:rsidRPr="007A1983">
              <w:rPr>
                <w:rFonts w:ascii="Arial" w:hAnsi="Arial" w:cs="Arial"/>
                <w:sz w:val="22"/>
              </w:rPr>
              <w:t>80º 52</w:t>
            </w:r>
            <w:r>
              <w:rPr>
                <w:rFonts w:ascii="Arial" w:hAnsi="Arial" w:cs="Arial"/>
                <w:sz w:val="22"/>
              </w:rPr>
              <w:t>’</w:t>
            </w:r>
          </w:p>
        </w:tc>
      </w:tr>
      <w:tr w:rsidR="00AF014F" w:rsidRPr="001134EC" w:rsidTr="00AF014F">
        <w:tc>
          <w:tcPr>
            <w:tcW w:w="767" w:type="dxa"/>
          </w:tcPr>
          <w:p w:rsidR="00AF014F" w:rsidRPr="007A1983" w:rsidRDefault="00AF014F" w:rsidP="00AF014F">
            <w:pPr>
              <w:ind w:left="-242" w:right="-18"/>
              <w:jc w:val="center"/>
              <w:rPr>
                <w:rFonts w:ascii="Arial" w:hAnsi="Arial" w:cs="Arial"/>
              </w:rPr>
            </w:pPr>
            <w:r w:rsidRPr="007A1983">
              <w:rPr>
                <w:rFonts w:ascii="Arial" w:hAnsi="Arial" w:cs="Arial"/>
                <w:sz w:val="22"/>
              </w:rPr>
              <w:t>14</w:t>
            </w:r>
          </w:p>
        </w:tc>
        <w:tc>
          <w:tcPr>
            <w:tcW w:w="1411" w:type="dxa"/>
          </w:tcPr>
          <w:p w:rsidR="00AF014F" w:rsidRPr="007A1983" w:rsidRDefault="00AF014F" w:rsidP="00AF014F">
            <w:pPr>
              <w:ind w:left="-242" w:right="-18"/>
              <w:jc w:val="center"/>
              <w:rPr>
                <w:rFonts w:ascii="Arial" w:hAnsi="Arial" w:cs="Arial"/>
              </w:rPr>
            </w:pPr>
            <w:r w:rsidRPr="007A1983">
              <w:rPr>
                <w:rFonts w:ascii="Arial" w:hAnsi="Arial" w:cs="Arial"/>
                <w:sz w:val="22"/>
              </w:rPr>
              <w:t>33° 28</w:t>
            </w:r>
            <w:r>
              <w:rPr>
                <w:rFonts w:ascii="Arial" w:hAnsi="Arial" w:cs="Arial"/>
                <w:sz w:val="22"/>
              </w:rPr>
              <w:t>’</w:t>
            </w:r>
          </w:p>
        </w:tc>
        <w:tc>
          <w:tcPr>
            <w:tcW w:w="2316" w:type="dxa"/>
          </w:tcPr>
          <w:p w:rsidR="00AF014F" w:rsidRPr="007A1983" w:rsidRDefault="00AF014F" w:rsidP="00AF014F">
            <w:pPr>
              <w:ind w:left="-242" w:right="-18"/>
              <w:jc w:val="center"/>
              <w:rPr>
                <w:rFonts w:ascii="Arial" w:hAnsi="Arial" w:cs="Arial"/>
              </w:rPr>
            </w:pPr>
            <w:r w:rsidRPr="007A1983">
              <w:rPr>
                <w:rFonts w:ascii="Arial" w:hAnsi="Arial" w:cs="Arial"/>
                <w:sz w:val="22"/>
              </w:rPr>
              <w:t>77° 35</w:t>
            </w:r>
            <w:r>
              <w:rPr>
                <w:rFonts w:ascii="Arial" w:hAnsi="Arial" w:cs="Arial"/>
                <w:sz w:val="22"/>
              </w:rPr>
              <w:t>’</w:t>
            </w:r>
          </w:p>
        </w:tc>
        <w:tc>
          <w:tcPr>
            <w:tcW w:w="1002" w:type="dxa"/>
          </w:tcPr>
          <w:p w:rsidR="00AF014F" w:rsidRPr="007A1983" w:rsidRDefault="00AF014F" w:rsidP="00AF014F">
            <w:pPr>
              <w:ind w:left="-242" w:right="-18"/>
              <w:jc w:val="center"/>
              <w:rPr>
                <w:rFonts w:ascii="Arial" w:hAnsi="Arial" w:cs="Arial"/>
              </w:rPr>
            </w:pPr>
            <w:r>
              <w:rPr>
                <w:rFonts w:ascii="Arial" w:hAnsi="Arial" w:cs="Arial"/>
                <w:sz w:val="22"/>
              </w:rPr>
              <w:t>2</w:t>
            </w:r>
            <w:r w:rsidRPr="007A1983">
              <w:rPr>
                <w:rFonts w:ascii="Arial" w:hAnsi="Arial" w:cs="Arial"/>
                <w:sz w:val="22"/>
              </w:rPr>
              <w:t>8</w:t>
            </w:r>
          </w:p>
        </w:tc>
        <w:tc>
          <w:tcPr>
            <w:tcW w:w="1356" w:type="dxa"/>
          </w:tcPr>
          <w:p w:rsidR="00AF014F" w:rsidRPr="007A1983" w:rsidRDefault="00AF014F" w:rsidP="00AF014F">
            <w:pPr>
              <w:ind w:left="-242" w:right="-18"/>
              <w:jc w:val="center"/>
              <w:rPr>
                <w:rFonts w:ascii="Arial" w:hAnsi="Arial" w:cs="Arial"/>
              </w:rPr>
            </w:pPr>
            <w:r w:rsidRPr="007A1983">
              <w:rPr>
                <w:rFonts w:ascii="Arial" w:hAnsi="Arial" w:cs="Arial"/>
                <w:sz w:val="22"/>
              </w:rPr>
              <w:t>29º 13</w:t>
            </w:r>
            <w:r>
              <w:rPr>
                <w:rFonts w:ascii="Arial" w:hAnsi="Arial" w:cs="Arial"/>
                <w:sz w:val="22"/>
              </w:rPr>
              <w:t>’</w:t>
            </w:r>
          </w:p>
        </w:tc>
        <w:tc>
          <w:tcPr>
            <w:tcW w:w="2346" w:type="dxa"/>
            <w:gridSpan w:val="2"/>
          </w:tcPr>
          <w:p w:rsidR="00AF014F" w:rsidRPr="007A1983" w:rsidRDefault="00AF014F" w:rsidP="00AF014F">
            <w:pPr>
              <w:ind w:left="-242" w:right="-18"/>
              <w:jc w:val="center"/>
              <w:rPr>
                <w:rFonts w:ascii="Arial" w:hAnsi="Arial" w:cs="Arial"/>
              </w:rPr>
            </w:pPr>
            <w:r w:rsidRPr="007A1983">
              <w:rPr>
                <w:rFonts w:ascii="Arial" w:hAnsi="Arial" w:cs="Arial"/>
                <w:sz w:val="22"/>
              </w:rPr>
              <w:t>State/EEZ Boundary</w:t>
            </w:r>
          </w:p>
        </w:tc>
      </w:tr>
    </w:tbl>
    <w:p w:rsidR="00AF014F" w:rsidRPr="007117B7" w:rsidRDefault="00AF014F" w:rsidP="00AF014F">
      <w:pPr>
        <w:rPr>
          <w:sz w:val="20"/>
          <w:szCs w:val="20"/>
        </w:rPr>
      </w:pPr>
      <w:r w:rsidRPr="007117B7">
        <w:rPr>
          <w:iCs/>
          <w:sz w:val="20"/>
          <w:szCs w:val="20"/>
        </w:rPr>
        <w:t>Source: Amanda Frick, NMFS SERO</w:t>
      </w:r>
    </w:p>
    <w:p w:rsidR="00AF014F" w:rsidRDefault="00AF014F" w:rsidP="00AF014F">
      <w:pPr>
        <w:autoSpaceDE w:val="0"/>
        <w:autoSpaceDN w:val="0"/>
        <w:adjustRightInd w:val="0"/>
        <w:rPr>
          <w:rFonts w:ascii="Arial" w:hAnsi="Arial" w:cs="Arial"/>
          <w:sz w:val="20"/>
          <w:szCs w:val="20"/>
        </w:rPr>
      </w:pPr>
    </w:p>
    <w:p w:rsidR="00AF014F" w:rsidRDefault="00AF014F" w:rsidP="00AF014F">
      <w:pPr>
        <w:autoSpaceDE w:val="0"/>
        <w:autoSpaceDN w:val="0"/>
        <w:adjustRightInd w:val="0"/>
        <w:rPr>
          <w:rFonts w:ascii="Arial" w:hAnsi="Arial" w:cs="Arial"/>
          <w:sz w:val="20"/>
          <w:szCs w:val="20"/>
        </w:rPr>
      </w:pPr>
      <w:r>
        <w:rPr>
          <w:rFonts w:ascii="Arial" w:hAnsi="Arial" w:cs="Arial"/>
          <w:b/>
          <w:noProof/>
          <w:sz w:val="20"/>
          <w:szCs w:val="20"/>
        </w:rPr>
        <w:lastRenderedPageBreak/>
        <w:drawing>
          <wp:inline distT="0" distB="0" distL="0" distR="0">
            <wp:extent cx="5943600" cy="73653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10new_20m.pn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7365365"/>
                    </a:xfrm>
                    <a:prstGeom prst="rect">
                      <a:avLst/>
                    </a:prstGeom>
                  </pic:spPr>
                </pic:pic>
              </a:graphicData>
            </a:graphic>
          </wp:inline>
        </w:drawing>
      </w:r>
    </w:p>
    <w:p w:rsidR="00AF014F" w:rsidRPr="007117B7" w:rsidRDefault="00AF014F" w:rsidP="00AF014F">
      <w:pPr>
        <w:pStyle w:val="Figuretitle"/>
        <w:rPr>
          <w:rFonts w:ascii="Arial" w:hAnsi="Arial" w:cs="Arial"/>
          <w:sz w:val="20"/>
          <w:szCs w:val="20"/>
        </w:rPr>
      </w:pPr>
      <w:bookmarkStart w:id="16" w:name="_Toc302115354"/>
      <w:proofErr w:type="gramStart"/>
      <w:r w:rsidRPr="007117B7">
        <w:rPr>
          <w:rStyle w:val="FiguretitleChar1"/>
          <w:rFonts w:ascii="Arial" w:hAnsi="Arial" w:cs="Arial"/>
          <w:b/>
          <w:sz w:val="20"/>
          <w:szCs w:val="20"/>
        </w:rPr>
        <w:t>Figure 2.1.9.</w:t>
      </w:r>
      <w:proofErr w:type="gramEnd"/>
      <w:r w:rsidRPr="007117B7">
        <w:rPr>
          <w:rStyle w:val="FiguretitleChar1"/>
          <w:rFonts w:ascii="Arial" w:hAnsi="Arial" w:cs="Arial"/>
          <w:sz w:val="20"/>
          <w:szCs w:val="20"/>
        </w:rPr>
        <w:t xml:space="preserve">  </w:t>
      </w:r>
      <w:proofErr w:type="gramStart"/>
      <w:r w:rsidRPr="007117B7">
        <w:rPr>
          <w:rStyle w:val="FiguretitleChar1"/>
          <w:rFonts w:ascii="Arial" w:hAnsi="Arial" w:cs="Arial"/>
          <w:sz w:val="20"/>
          <w:szCs w:val="20"/>
        </w:rPr>
        <w:t>Area for the proposed black sea bass pot closure</w:t>
      </w:r>
      <w:r w:rsidR="000242E5" w:rsidRPr="007117B7">
        <w:rPr>
          <w:rStyle w:val="FiguretitleChar1"/>
          <w:rFonts w:ascii="Arial" w:hAnsi="Arial" w:cs="Arial"/>
          <w:sz w:val="20"/>
          <w:szCs w:val="20"/>
        </w:rPr>
        <w:fldChar w:fldCharType="begin"/>
      </w:r>
      <w:r w:rsidRPr="007117B7">
        <w:rPr>
          <w:rFonts w:ascii="Arial" w:hAnsi="Arial" w:cs="Arial"/>
          <w:sz w:val="20"/>
          <w:szCs w:val="20"/>
        </w:rPr>
        <w:instrText xml:space="preserve"> XE "</w:instrText>
      </w:r>
      <w:r w:rsidRPr="007117B7">
        <w:rPr>
          <w:rStyle w:val="FiguretitleChar1"/>
          <w:rFonts w:ascii="Arial" w:eastAsiaTheme="minorHAnsi" w:hAnsi="Arial" w:cs="Arial"/>
          <w:sz w:val="20"/>
          <w:szCs w:val="20"/>
        </w:rPr>
        <w:instrText>black sea bass pot closure</w:instrText>
      </w:r>
      <w:r w:rsidRPr="007117B7">
        <w:rPr>
          <w:rFonts w:ascii="Arial" w:hAnsi="Arial" w:cs="Arial"/>
          <w:sz w:val="20"/>
          <w:szCs w:val="20"/>
        </w:rPr>
        <w:instrText xml:space="preserve">" </w:instrText>
      </w:r>
      <w:r w:rsidR="000242E5" w:rsidRPr="007117B7">
        <w:rPr>
          <w:rStyle w:val="FiguretitleChar1"/>
          <w:rFonts w:ascii="Arial" w:hAnsi="Arial" w:cs="Arial"/>
          <w:sz w:val="20"/>
          <w:szCs w:val="20"/>
        </w:rPr>
        <w:fldChar w:fldCharType="end"/>
      </w:r>
      <w:r w:rsidRPr="007117B7">
        <w:rPr>
          <w:rStyle w:val="FiguretitleChar1"/>
          <w:rFonts w:ascii="Arial" w:hAnsi="Arial" w:cs="Arial"/>
          <w:sz w:val="20"/>
          <w:szCs w:val="20"/>
        </w:rPr>
        <w:t xml:space="preserve"> in </w:t>
      </w:r>
      <w:r w:rsidRPr="007117B7">
        <w:rPr>
          <w:rStyle w:val="FiguretitleChar1"/>
          <w:rFonts w:ascii="Arial" w:hAnsi="Arial" w:cs="Arial"/>
          <w:b/>
          <w:sz w:val="20"/>
          <w:szCs w:val="20"/>
        </w:rPr>
        <w:t>Alternative 10</w:t>
      </w:r>
      <w:r w:rsidRPr="007117B7">
        <w:rPr>
          <w:rStyle w:val="FiguretitleChar1"/>
          <w:rFonts w:ascii="Arial" w:hAnsi="Arial" w:cs="Arial"/>
          <w:sz w:val="20"/>
          <w:szCs w:val="20"/>
        </w:rPr>
        <w:t xml:space="preserve"> from November 1 through December </w:t>
      </w:r>
      <w:r w:rsidRPr="005C2925">
        <w:rPr>
          <w:rStyle w:val="FiguretitleChar1"/>
          <w:rFonts w:ascii="Arial" w:hAnsi="Arial" w:cs="Arial"/>
          <w:sz w:val="20"/>
          <w:szCs w:val="20"/>
        </w:rPr>
        <w:t>15</w:t>
      </w:r>
      <w:r w:rsidR="005C2925" w:rsidRPr="00D073BA">
        <w:rPr>
          <w:rFonts w:ascii="Arial" w:hAnsi="Arial" w:cs="Arial"/>
          <w:b/>
          <w:sz w:val="20"/>
          <w:szCs w:val="20"/>
        </w:rPr>
        <w:t xml:space="preserve"> </w:t>
      </w:r>
      <w:r w:rsidR="005C2925" w:rsidRPr="00D073BA">
        <w:rPr>
          <w:rFonts w:ascii="Arial" w:hAnsi="Arial" w:cs="Arial"/>
          <w:sz w:val="20"/>
          <w:szCs w:val="20"/>
        </w:rPr>
        <w:t>and November 15 through April 15</w:t>
      </w:r>
      <w:r w:rsidRPr="007117B7">
        <w:rPr>
          <w:rStyle w:val="FiguretitleChar1"/>
          <w:rFonts w:ascii="Arial" w:hAnsi="Arial" w:cs="Arial"/>
          <w:sz w:val="20"/>
          <w:szCs w:val="20"/>
        </w:rPr>
        <w:t>.</w:t>
      </w:r>
      <w:bookmarkEnd w:id="16"/>
      <w:proofErr w:type="gramEnd"/>
    </w:p>
    <w:p w:rsidR="00AF014F" w:rsidRPr="007117B7" w:rsidRDefault="00AF014F" w:rsidP="00AF014F">
      <w:pPr>
        <w:rPr>
          <w:sz w:val="20"/>
          <w:szCs w:val="20"/>
        </w:rPr>
        <w:sectPr w:rsidR="00AF014F" w:rsidRPr="007117B7" w:rsidSect="00AF014F">
          <w:pgSz w:w="12240" w:h="15840"/>
          <w:pgMar w:top="1440" w:right="1440" w:bottom="1440" w:left="1440" w:header="720" w:footer="720" w:gutter="0"/>
          <w:cols w:space="720"/>
          <w:docGrid w:linePitch="360"/>
        </w:sectPr>
      </w:pPr>
      <w:r w:rsidRPr="007117B7">
        <w:rPr>
          <w:iCs/>
          <w:sz w:val="20"/>
          <w:szCs w:val="20"/>
        </w:rPr>
        <w:t>Source: Amanda Frick, NMFS SERO</w:t>
      </w:r>
    </w:p>
    <w:p w:rsidR="00AF014F" w:rsidRDefault="00AF014F" w:rsidP="00AF014F">
      <w:pPr>
        <w:pStyle w:val="Tabletitle"/>
      </w:pPr>
      <w:bookmarkStart w:id="17" w:name="_Toc302115478"/>
      <w:proofErr w:type="gramStart"/>
      <w:r w:rsidRPr="00A45EA4">
        <w:lastRenderedPageBreak/>
        <w:t>Table 2.1.9.</w:t>
      </w:r>
      <w:proofErr w:type="gramEnd"/>
      <w:r w:rsidRPr="00A45EA4">
        <w:t xml:space="preserve"> </w:t>
      </w:r>
      <w:r w:rsidRPr="007117B7">
        <w:rPr>
          <w:b w:val="0"/>
        </w:rPr>
        <w:t>Eastern boundary coordinates for the proposed black sea bass pot closure</w:t>
      </w:r>
      <w:r w:rsidR="000242E5" w:rsidRPr="007117B7">
        <w:rPr>
          <w:b w:val="0"/>
        </w:rPr>
        <w:fldChar w:fldCharType="begin"/>
      </w:r>
      <w:r w:rsidRPr="007117B7">
        <w:rPr>
          <w:b w:val="0"/>
        </w:rPr>
        <w:instrText xml:space="preserve"> XE "</w:instrText>
      </w:r>
      <w:r w:rsidRPr="007117B7">
        <w:rPr>
          <w:rStyle w:val="FiguretitleChar1"/>
          <w:rFonts w:eastAsiaTheme="minorHAnsi"/>
          <w:b w:val="0"/>
          <w:sz w:val="20"/>
          <w:szCs w:val="20"/>
        </w:rPr>
        <w:instrText>black sea bass pot closure</w:instrText>
      </w:r>
      <w:r w:rsidRPr="007117B7">
        <w:rPr>
          <w:b w:val="0"/>
        </w:rPr>
        <w:instrText xml:space="preserve">" </w:instrText>
      </w:r>
      <w:r w:rsidR="000242E5" w:rsidRPr="007117B7">
        <w:rPr>
          <w:b w:val="0"/>
        </w:rPr>
        <w:fldChar w:fldCharType="end"/>
      </w:r>
      <w:r w:rsidRPr="007117B7">
        <w:rPr>
          <w:b w:val="0"/>
        </w:rPr>
        <w:t xml:space="preserve"> in </w:t>
      </w:r>
      <w:r w:rsidRPr="007117B7">
        <w:t>Alternative 10</w:t>
      </w:r>
      <w:r w:rsidRPr="007117B7">
        <w:rPr>
          <w:b w:val="0"/>
        </w:rPr>
        <w:t xml:space="preserve"> for February 15 through April 30.</w:t>
      </w:r>
      <w:bookmarkEnd w:id="17"/>
      <w:r w:rsidRPr="00A45EA4">
        <w:t xml:space="preserve"> </w:t>
      </w:r>
    </w:p>
    <w:tbl>
      <w:tblPr>
        <w:tblStyle w:val="TableGrid"/>
        <w:tblW w:w="0" w:type="auto"/>
        <w:tblLook w:val="04A0"/>
      </w:tblPr>
      <w:tblGrid>
        <w:gridCol w:w="766"/>
        <w:gridCol w:w="1411"/>
        <w:gridCol w:w="2233"/>
        <w:gridCol w:w="846"/>
        <w:gridCol w:w="1488"/>
        <w:gridCol w:w="2274"/>
      </w:tblGrid>
      <w:tr w:rsidR="00AF014F" w:rsidRPr="00030CE6" w:rsidTr="00AF014F">
        <w:tc>
          <w:tcPr>
            <w:tcW w:w="766" w:type="dxa"/>
            <w:shd w:val="clear" w:color="auto" w:fill="D9D9D9" w:themeFill="background1" w:themeFillShade="D9"/>
          </w:tcPr>
          <w:p w:rsidR="00AF014F" w:rsidRPr="007A1983" w:rsidRDefault="00AF014F" w:rsidP="00AF014F">
            <w:pPr>
              <w:jc w:val="center"/>
              <w:rPr>
                <w:rFonts w:ascii="Arial" w:hAnsi="Arial" w:cs="Arial"/>
                <w:b/>
              </w:rPr>
            </w:pPr>
            <w:r w:rsidRPr="007A1983">
              <w:rPr>
                <w:rFonts w:ascii="Arial" w:hAnsi="Arial" w:cs="Arial"/>
                <w:b/>
                <w:sz w:val="22"/>
              </w:rPr>
              <w:t>Point</w:t>
            </w:r>
          </w:p>
        </w:tc>
        <w:tc>
          <w:tcPr>
            <w:tcW w:w="1411" w:type="dxa"/>
            <w:shd w:val="clear" w:color="auto" w:fill="D9D9D9" w:themeFill="background1" w:themeFillShade="D9"/>
          </w:tcPr>
          <w:p w:rsidR="00AF014F" w:rsidRPr="007A1983" w:rsidRDefault="00AF014F" w:rsidP="00AF014F">
            <w:pPr>
              <w:jc w:val="center"/>
              <w:rPr>
                <w:rFonts w:ascii="Arial" w:hAnsi="Arial" w:cs="Arial"/>
                <w:b/>
              </w:rPr>
            </w:pPr>
            <w:r w:rsidRPr="007A1983">
              <w:rPr>
                <w:rFonts w:ascii="Arial" w:hAnsi="Arial" w:cs="Arial"/>
                <w:b/>
                <w:sz w:val="22"/>
              </w:rPr>
              <w:t>N Latitude</w:t>
            </w:r>
          </w:p>
        </w:tc>
        <w:tc>
          <w:tcPr>
            <w:tcW w:w="2233" w:type="dxa"/>
            <w:shd w:val="clear" w:color="auto" w:fill="D9D9D9" w:themeFill="background1" w:themeFillShade="D9"/>
          </w:tcPr>
          <w:p w:rsidR="00AF014F" w:rsidRPr="007A1983" w:rsidRDefault="00AF014F" w:rsidP="00AF014F">
            <w:pPr>
              <w:jc w:val="center"/>
              <w:rPr>
                <w:rFonts w:ascii="Arial" w:hAnsi="Arial" w:cs="Arial"/>
                <w:b/>
              </w:rPr>
            </w:pPr>
            <w:r w:rsidRPr="007A1983">
              <w:rPr>
                <w:rFonts w:ascii="Arial" w:hAnsi="Arial" w:cs="Arial"/>
                <w:b/>
                <w:sz w:val="22"/>
              </w:rPr>
              <w:t>W Longitude</w:t>
            </w:r>
          </w:p>
        </w:tc>
        <w:tc>
          <w:tcPr>
            <w:tcW w:w="846" w:type="dxa"/>
            <w:shd w:val="clear" w:color="auto" w:fill="D9D9D9" w:themeFill="background1" w:themeFillShade="D9"/>
          </w:tcPr>
          <w:p w:rsidR="00AF014F" w:rsidRPr="007A1983" w:rsidRDefault="00AF014F" w:rsidP="00AF014F">
            <w:pPr>
              <w:jc w:val="center"/>
              <w:rPr>
                <w:rFonts w:ascii="Arial" w:hAnsi="Arial" w:cs="Arial"/>
                <w:b/>
              </w:rPr>
            </w:pPr>
            <w:r w:rsidRPr="007A1983">
              <w:rPr>
                <w:rFonts w:ascii="Arial" w:hAnsi="Arial" w:cs="Arial"/>
                <w:b/>
                <w:sz w:val="22"/>
              </w:rPr>
              <w:t>Point</w:t>
            </w:r>
          </w:p>
        </w:tc>
        <w:tc>
          <w:tcPr>
            <w:tcW w:w="1488" w:type="dxa"/>
            <w:shd w:val="clear" w:color="auto" w:fill="D9D9D9" w:themeFill="background1" w:themeFillShade="D9"/>
          </w:tcPr>
          <w:p w:rsidR="00AF014F" w:rsidRPr="007A1983" w:rsidRDefault="00AF014F" w:rsidP="00AF014F">
            <w:pPr>
              <w:jc w:val="center"/>
              <w:rPr>
                <w:rFonts w:ascii="Arial" w:hAnsi="Arial" w:cs="Arial"/>
                <w:b/>
              </w:rPr>
            </w:pPr>
            <w:r w:rsidRPr="007A1983">
              <w:rPr>
                <w:rFonts w:ascii="Arial" w:hAnsi="Arial" w:cs="Arial"/>
                <w:b/>
                <w:sz w:val="22"/>
              </w:rPr>
              <w:t>N Latitude</w:t>
            </w:r>
          </w:p>
        </w:tc>
        <w:tc>
          <w:tcPr>
            <w:tcW w:w="2274" w:type="dxa"/>
            <w:shd w:val="clear" w:color="auto" w:fill="D9D9D9" w:themeFill="background1" w:themeFillShade="D9"/>
          </w:tcPr>
          <w:p w:rsidR="00AF014F" w:rsidRPr="007A1983" w:rsidRDefault="00AF014F" w:rsidP="00AF014F">
            <w:pPr>
              <w:jc w:val="center"/>
              <w:rPr>
                <w:rFonts w:ascii="Arial" w:hAnsi="Arial" w:cs="Arial"/>
                <w:b/>
              </w:rPr>
            </w:pPr>
            <w:r w:rsidRPr="007A1983">
              <w:rPr>
                <w:rFonts w:ascii="Arial" w:hAnsi="Arial" w:cs="Arial"/>
                <w:b/>
                <w:sz w:val="22"/>
              </w:rPr>
              <w:t>W Longitude</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35° 15</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State/EEZ Boundary</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19</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33° 06</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78° 31</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2</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35° 15</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75° 09</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20</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33° 05</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78° 40</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3</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35° 06</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75° 22</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21</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33° 01</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78° 43</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4</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35° 06</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75° 39</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22</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32° 56</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78° 57</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5</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35° 01</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75° 47</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23</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32° 44</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79° 04</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6</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34° 54</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75° 46</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24</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32° 42</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79° 13</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7</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34° 52</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76° 04</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25</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32° 34</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79° 23</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8</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34° 33</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76° 22</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26</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32° 25</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79° 25</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9</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34° 23</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76° 18</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27</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32° 23</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79° 37</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10</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34° 21</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76° 27</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28</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31° 53</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80° 09</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11</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34° 25</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76° 51</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29</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31º 31</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80º 33</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12</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34° 09</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77° 19</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30</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30º 43</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80º 49</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13</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33° 44</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77° 38</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31</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30º 30</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81º 01</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14</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33° 25</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77° 27</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32</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29º 45</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81º 01</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15</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33° 22</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77° 40</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33</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29º 31</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80º 58</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16</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33° 28</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77° 41</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34</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29º 13</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80º 52</w:t>
            </w:r>
            <w:r>
              <w:rPr>
                <w:rFonts w:ascii="Arial" w:hAnsi="Arial" w:cs="Arial"/>
                <w:sz w:val="22"/>
              </w:rPr>
              <w:t>’</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17</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33° 32</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77° 53</w:t>
            </w:r>
            <w:r>
              <w:rPr>
                <w:rFonts w:ascii="Arial" w:hAnsi="Arial" w:cs="Arial"/>
                <w:sz w:val="22"/>
              </w:rPr>
              <w:t>’</w:t>
            </w:r>
          </w:p>
        </w:tc>
        <w:tc>
          <w:tcPr>
            <w:tcW w:w="846" w:type="dxa"/>
          </w:tcPr>
          <w:p w:rsidR="00AF014F" w:rsidRPr="007A1983" w:rsidRDefault="00AF014F" w:rsidP="00AF014F">
            <w:pPr>
              <w:jc w:val="center"/>
              <w:rPr>
                <w:rFonts w:ascii="Arial" w:hAnsi="Arial" w:cs="Arial"/>
              </w:rPr>
            </w:pPr>
            <w:r w:rsidRPr="007A1983">
              <w:rPr>
                <w:rFonts w:ascii="Arial" w:hAnsi="Arial" w:cs="Arial"/>
                <w:sz w:val="22"/>
              </w:rPr>
              <w:t>35</w:t>
            </w:r>
          </w:p>
        </w:tc>
        <w:tc>
          <w:tcPr>
            <w:tcW w:w="1488" w:type="dxa"/>
          </w:tcPr>
          <w:p w:rsidR="00AF014F" w:rsidRPr="007A1983" w:rsidRDefault="00AF014F" w:rsidP="00AF014F">
            <w:pPr>
              <w:jc w:val="center"/>
              <w:rPr>
                <w:rFonts w:ascii="Arial" w:hAnsi="Arial" w:cs="Arial"/>
              </w:rPr>
            </w:pPr>
            <w:r w:rsidRPr="007A1983">
              <w:rPr>
                <w:rFonts w:ascii="Arial" w:hAnsi="Arial" w:cs="Arial"/>
                <w:sz w:val="22"/>
              </w:rPr>
              <w:t>29º 13</w:t>
            </w:r>
            <w:r>
              <w:rPr>
                <w:rFonts w:ascii="Arial" w:hAnsi="Arial" w:cs="Arial"/>
                <w:sz w:val="22"/>
              </w:rPr>
              <w:t>’</w:t>
            </w:r>
          </w:p>
        </w:tc>
        <w:tc>
          <w:tcPr>
            <w:tcW w:w="2274" w:type="dxa"/>
          </w:tcPr>
          <w:p w:rsidR="00AF014F" w:rsidRPr="007A1983" w:rsidRDefault="00AF014F" w:rsidP="00AF014F">
            <w:pPr>
              <w:jc w:val="center"/>
              <w:rPr>
                <w:rFonts w:ascii="Arial" w:hAnsi="Arial" w:cs="Arial"/>
              </w:rPr>
            </w:pPr>
            <w:r w:rsidRPr="007A1983">
              <w:rPr>
                <w:rFonts w:ascii="Arial" w:hAnsi="Arial" w:cs="Arial"/>
                <w:sz w:val="22"/>
              </w:rPr>
              <w:t>State/EEZ Boundary</w:t>
            </w:r>
          </w:p>
        </w:tc>
      </w:tr>
      <w:tr w:rsidR="00AF014F" w:rsidRPr="001134EC" w:rsidTr="00AF014F">
        <w:tc>
          <w:tcPr>
            <w:tcW w:w="766" w:type="dxa"/>
          </w:tcPr>
          <w:p w:rsidR="00AF014F" w:rsidRPr="007A1983" w:rsidRDefault="00AF014F" w:rsidP="00AF014F">
            <w:pPr>
              <w:jc w:val="center"/>
              <w:rPr>
                <w:rFonts w:ascii="Arial" w:hAnsi="Arial" w:cs="Arial"/>
              </w:rPr>
            </w:pPr>
            <w:r w:rsidRPr="007A1983">
              <w:rPr>
                <w:rFonts w:ascii="Arial" w:hAnsi="Arial" w:cs="Arial"/>
                <w:sz w:val="22"/>
              </w:rPr>
              <w:t>18</w:t>
            </w:r>
          </w:p>
        </w:tc>
        <w:tc>
          <w:tcPr>
            <w:tcW w:w="1411" w:type="dxa"/>
          </w:tcPr>
          <w:p w:rsidR="00AF014F" w:rsidRPr="007A1983" w:rsidRDefault="00AF014F" w:rsidP="00AF014F">
            <w:pPr>
              <w:jc w:val="center"/>
              <w:rPr>
                <w:rFonts w:ascii="Arial" w:hAnsi="Arial" w:cs="Arial"/>
              </w:rPr>
            </w:pPr>
            <w:r w:rsidRPr="007A1983">
              <w:rPr>
                <w:rFonts w:ascii="Arial" w:hAnsi="Arial" w:cs="Arial"/>
                <w:sz w:val="22"/>
              </w:rPr>
              <w:t>33° 22</w:t>
            </w:r>
            <w:r>
              <w:rPr>
                <w:rFonts w:ascii="Arial" w:hAnsi="Arial" w:cs="Arial"/>
                <w:sz w:val="22"/>
              </w:rPr>
              <w:t>’</w:t>
            </w:r>
          </w:p>
        </w:tc>
        <w:tc>
          <w:tcPr>
            <w:tcW w:w="2233" w:type="dxa"/>
          </w:tcPr>
          <w:p w:rsidR="00AF014F" w:rsidRPr="007A1983" w:rsidRDefault="00AF014F" w:rsidP="00AF014F">
            <w:pPr>
              <w:jc w:val="center"/>
              <w:rPr>
                <w:rFonts w:ascii="Arial" w:hAnsi="Arial" w:cs="Arial"/>
              </w:rPr>
            </w:pPr>
            <w:r w:rsidRPr="007A1983">
              <w:rPr>
                <w:rFonts w:ascii="Arial" w:hAnsi="Arial" w:cs="Arial"/>
                <w:sz w:val="22"/>
              </w:rPr>
              <w:t>78° 26</w:t>
            </w:r>
            <w:r>
              <w:rPr>
                <w:rFonts w:ascii="Arial" w:hAnsi="Arial" w:cs="Arial"/>
                <w:sz w:val="22"/>
              </w:rPr>
              <w:t>’</w:t>
            </w:r>
          </w:p>
        </w:tc>
        <w:tc>
          <w:tcPr>
            <w:tcW w:w="846" w:type="dxa"/>
          </w:tcPr>
          <w:p w:rsidR="00AF014F" w:rsidRPr="007A1983" w:rsidRDefault="00AF014F" w:rsidP="00AF014F">
            <w:pPr>
              <w:jc w:val="center"/>
              <w:rPr>
                <w:rFonts w:ascii="Arial" w:hAnsi="Arial" w:cs="Arial"/>
              </w:rPr>
            </w:pPr>
          </w:p>
        </w:tc>
        <w:tc>
          <w:tcPr>
            <w:tcW w:w="1488" w:type="dxa"/>
          </w:tcPr>
          <w:p w:rsidR="00AF014F" w:rsidRPr="007A1983" w:rsidRDefault="00AF014F" w:rsidP="00AF014F">
            <w:pPr>
              <w:jc w:val="center"/>
              <w:rPr>
                <w:rFonts w:ascii="Arial" w:hAnsi="Arial" w:cs="Arial"/>
              </w:rPr>
            </w:pPr>
          </w:p>
        </w:tc>
        <w:tc>
          <w:tcPr>
            <w:tcW w:w="2274" w:type="dxa"/>
          </w:tcPr>
          <w:p w:rsidR="00AF014F" w:rsidRPr="007A1983" w:rsidRDefault="00AF014F" w:rsidP="00AF014F">
            <w:pPr>
              <w:jc w:val="center"/>
              <w:rPr>
                <w:rFonts w:ascii="Arial" w:hAnsi="Arial" w:cs="Arial"/>
              </w:rPr>
            </w:pPr>
          </w:p>
        </w:tc>
      </w:tr>
    </w:tbl>
    <w:p w:rsidR="00AF014F" w:rsidRPr="007117B7" w:rsidRDefault="00AF014F" w:rsidP="00AF014F">
      <w:pPr>
        <w:rPr>
          <w:sz w:val="20"/>
          <w:szCs w:val="20"/>
        </w:rPr>
      </w:pPr>
      <w:r w:rsidRPr="007117B7">
        <w:rPr>
          <w:iCs/>
          <w:sz w:val="20"/>
          <w:szCs w:val="20"/>
        </w:rPr>
        <w:t>Source: Amanda Frick, NMFS SERO</w:t>
      </w:r>
    </w:p>
    <w:p w:rsidR="00AF014F" w:rsidRDefault="00AF014F" w:rsidP="00AF014F">
      <w:r>
        <w:rPr>
          <w:rFonts w:ascii="Arial" w:hAnsi="Arial" w:cs="Arial"/>
          <w:b/>
          <w:noProof/>
          <w:sz w:val="20"/>
          <w:szCs w:val="20"/>
        </w:rPr>
        <w:lastRenderedPageBreak/>
        <w:drawing>
          <wp:inline distT="0" distB="0" distL="0" distR="0">
            <wp:extent cx="5851364" cy="72510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10new_25m.pn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851364" cy="7251065"/>
                    </a:xfrm>
                    <a:prstGeom prst="rect">
                      <a:avLst/>
                    </a:prstGeom>
                  </pic:spPr>
                </pic:pic>
              </a:graphicData>
            </a:graphic>
          </wp:inline>
        </w:drawing>
      </w:r>
    </w:p>
    <w:p w:rsidR="00AF014F" w:rsidRPr="007117B7" w:rsidRDefault="00AF014F" w:rsidP="00AF014F">
      <w:pPr>
        <w:pStyle w:val="Figuretitle"/>
        <w:rPr>
          <w:rFonts w:ascii="Arial" w:hAnsi="Arial" w:cs="Arial"/>
          <w:sz w:val="20"/>
          <w:szCs w:val="20"/>
        </w:rPr>
      </w:pPr>
      <w:bookmarkStart w:id="18" w:name="_Toc302115355"/>
      <w:proofErr w:type="gramStart"/>
      <w:r w:rsidRPr="007117B7">
        <w:rPr>
          <w:rStyle w:val="FiguretitleChar1"/>
          <w:rFonts w:ascii="Arial" w:hAnsi="Arial" w:cs="Arial"/>
          <w:b/>
          <w:sz w:val="20"/>
          <w:szCs w:val="20"/>
        </w:rPr>
        <w:t>Figure 2.1.10.</w:t>
      </w:r>
      <w:proofErr w:type="gramEnd"/>
      <w:r w:rsidRPr="007117B7">
        <w:rPr>
          <w:rStyle w:val="FiguretitleChar1"/>
          <w:rFonts w:ascii="Arial" w:hAnsi="Arial" w:cs="Arial"/>
          <w:sz w:val="20"/>
          <w:szCs w:val="20"/>
        </w:rPr>
        <w:t xml:space="preserve">  </w:t>
      </w:r>
      <w:proofErr w:type="gramStart"/>
      <w:r w:rsidRPr="007117B7">
        <w:rPr>
          <w:rStyle w:val="FiguretitleChar1"/>
          <w:rFonts w:ascii="Arial" w:hAnsi="Arial" w:cs="Arial"/>
          <w:sz w:val="20"/>
          <w:szCs w:val="20"/>
        </w:rPr>
        <w:t>Area for the proposed black sea bass pot closure</w:t>
      </w:r>
      <w:r w:rsidR="000242E5" w:rsidRPr="007117B7">
        <w:rPr>
          <w:rStyle w:val="FiguretitleChar1"/>
          <w:rFonts w:ascii="Arial" w:hAnsi="Arial" w:cs="Arial"/>
          <w:sz w:val="20"/>
          <w:szCs w:val="20"/>
        </w:rPr>
        <w:fldChar w:fldCharType="begin"/>
      </w:r>
      <w:r w:rsidRPr="007117B7">
        <w:rPr>
          <w:rFonts w:ascii="Arial" w:hAnsi="Arial" w:cs="Arial"/>
          <w:sz w:val="20"/>
          <w:szCs w:val="20"/>
        </w:rPr>
        <w:instrText xml:space="preserve"> XE "</w:instrText>
      </w:r>
      <w:r w:rsidRPr="007117B7">
        <w:rPr>
          <w:rStyle w:val="FiguretitleChar1"/>
          <w:rFonts w:ascii="Arial" w:eastAsiaTheme="minorHAnsi" w:hAnsi="Arial" w:cs="Arial"/>
          <w:sz w:val="20"/>
          <w:szCs w:val="20"/>
        </w:rPr>
        <w:instrText>black sea bass pot closure</w:instrText>
      </w:r>
      <w:r w:rsidRPr="007117B7">
        <w:rPr>
          <w:rFonts w:ascii="Arial" w:hAnsi="Arial" w:cs="Arial"/>
          <w:sz w:val="20"/>
          <w:szCs w:val="20"/>
        </w:rPr>
        <w:instrText xml:space="preserve">" </w:instrText>
      </w:r>
      <w:r w:rsidR="000242E5" w:rsidRPr="007117B7">
        <w:rPr>
          <w:rStyle w:val="FiguretitleChar1"/>
          <w:rFonts w:ascii="Arial" w:hAnsi="Arial" w:cs="Arial"/>
          <w:sz w:val="20"/>
          <w:szCs w:val="20"/>
        </w:rPr>
        <w:fldChar w:fldCharType="end"/>
      </w:r>
      <w:r w:rsidRPr="007117B7">
        <w:rPr>
          <w:rStyle w:val="FiguretitleChar1"/>
          <w:rFonts w:ascii="Arial" w:hAnsi="Arial" w:cs="Arial"/>
          <w:sz w:val="20"/>
          <w:szCs w:val="20"/>
        </w:rPr>
        <w:t xml:space="preserve"> in </w:t>
      </w:r>
      <w:r w:rsidRPr="007117B7">
        <w:rPr>
          <w:rStyle w:val="FiguretitleChar1"/>
          <w:rFonts w:ascii="Arial" w:hAnsi="Arial" w:cs="Arial"/>
          <w:b/>
          <w:sz w:val="20"/>
          <w:szCs w:val="20"/>
        </w:rPr>
        <w:t>Alternative 10</w:t>
      </w:r>
      <w:r w:rsidRPr="007117B7">
        <w:rPr>
          <w:rStyle w:val="FiguretitleChar1"/>
          <w:rFonts w:ascii="Arial" w:hAnsi="Arial" w:cs="Arial"/>
          <w:sz w:val="20"/>
          <w:szCs w:val="20"/>
        </w:rPr>
        <w:t xml:space="preserve"> from February 15 through April 30.</w:t>
      </w:r>
      <w:bookmarkEnd w:id="18"/>
      <w:proofErr w:type="gramEnd"/>
    </w:p>
    <w:p w:rsidR="00AF014F" w:rsidRDefault="00AF014F" w:rsidP="00AF014F">
      <w:pPr>
        <w:rPr>
          <w:b/>
          <w:color w:val="1F497D" w:themeColor="text2"/>
          <w:sz w:val="28"/>
          <w:szCs w:val="28"/>
        </w:rPr>
      </w:pPr>
      <w:r w:rsidRPr="007117B7">
        <w:rPr>
          <w:iCs/>
          <w:sz w:val="20"/>
          <w:szCs w:val="20"/>
        </w:rPr>
        <w:t>Source: Amanda Frick, NMFS SERO</w:t>
      </w:r>
      <w:r>
        <w:rPr>
          <w:b/>
          <w:color w:val="1F497D" w:themeColor="text2"/>
          <w:sz w:val="28"/>
          <w:szCs w:val="28"/>
        </w:rPr>
        <w:br w:type="page"/>
      </w:r>
    </w:p>
    <w:p w:rsidR="00764BD6" w:rsidRPr="00764BD6" w:rsidRDefault="00764BD6" w:rsidP="00764BD6">
      <w:pPr>
        <w:rPr>
          <w:highlight w:val="yellow"/>
        </w:rPr>
      </w:pPr>
      <w:proofErr w:type="gramStart"/>
      <w:r w:rsidRPr="00764BD6">
        <w:rPr>
          <w:b/>
          <w:highlight w:val="yellow"/>
        </w:rPr>
        <w:lastRenderedPageBreak/>
        <w:t>Preferred Alternative 11</w:t>
      </w:r>
      <w:r w:rsidRPr="00764BD6">
        <w:rPr>
          <w:highlight w:val="yellow"/>
        </w:rPr>
        <w:t>.</w:t>
      </w:r>
      <w:proofErr w:type="gramEnd"/>
      <w:r w:rsidRPr="00764BD6">
        <w:rPr>
          <w:highlight w:val="yellow"/>
        </w:rPr>
        <w:t xml:space="preserve"> From November 1 through 30 and from April 1 through 30 each year, the black sea bass pot closure</w:t>
      </w:r>
      <w:r w:rsidR="000242E5" w:rsidRPr="00764BD6">
        <w:rPr>
          <w:highlight w:val="yellow"/>
        </w:rPr>
        <w:fldChar w:fldCharType="begin"/>
      </w:r>
      <w:r w:rsidRPr="00764BD6">
        <w:rPr>
          <w:highlight w:val="yellow"/>
        </w:rPr>
        <w:instrText xml:space="preserve"> XE "</w:instrText>
      </w:r>
      <w:r w:rsidRPr="00764BD6">
        <w:rPr>
          <w:rStyle w:val="FiguretitleChar1"/>
          <w:rFonts w:eastAsiaTheme="minorHAnsi"/>
          <w:highlight w:val="yellow"/>
        </w:rPr>
        <w:instrText>black sea bass pot closure</w:instrText>
      </w:r>
      <w:r w:rsidRPr="00764BD6">
        <w:rPr>
          <w:highlight w:val="yellow"/>
        </w:rPr>
        <w:instrText xml:space="preserve">" </w:instrText>
      </w:r>
      <w:r w:rsidR="000242E5" w:rsidRPr="00764BD6">
        <w:rPr>
          <w:highlight w:val="yellow"/>
        </w:rPr>
        <w:fldChar w:fldCharType="end"/>
      </w:r>
      <w:r w:rsidRPr="00764BD6">
        <w:rPr>
          <w:highlight w:val="yellow"/>
        </w:rPr>
        <w:t xml:space="preserve"> applies to waters inshore of points 1-35 listed in </w:t>
      </w:r>
      <w:r w:rsidRPr="00764BD6">
        <w:rPr>
          <w:b/>
          <w:highlight w:val="yellow"/>
        </w:rPr>
        <w:t>Table 2.1.10</w:t>
      </w:r>
      <w:r w:rsidRPr="00764BD6">
        <w:rPr>
          <w:highlight w:val="yellow"/>
        </w:rPr>
        <w:t xml:space="preserve">; approximately Daytona Beach, Florida, to Cape Hatteras, North Carolina </w:t>
      </w:r>
      <w:r w:rsidRPr="00764BD6">
        <w:rPr>
          <w:b/>
          <w:highlight w:val="yellow"/>
        </w:rPr>
        <w:t>(Figure 2.1.1</w:t>
      </w:r>
      <w:r w:rsidR="0033281C">
        <w:rPr>
          <w:b/>
          <w:highlight w:val="yellow"/>
        </w:rPr>
        <w:t>1</w:t>
      </w:r>
      <w:r w:rsidRPr="00764BD6">
        <w:rPr>
          <w:b/>
          <w:highlight w:val="yellow"/>
        </w:rPr>
        <w:t>)</w:t>
      </w:r>
      <w:r w:rsidRPr="00764BD6">
        <w:rPr>
          <w:highlight w:val="yellow"/>
        </w:rPr>
        <w:t>.  From December 1 through March 31, t</w:t>
      </w:r>
      <w:r w:rsidRPr="00764BD6">
        <w:rPr>
          <w:iCs/>
          <w:highlight w:val="yellow"/>
        </w:rPr>
        <w:t xml:space="preserve">he black sea bass pot closure applies to waters inshore of points 1-28 listed below </w:t>
      </w:r>
      <w:r w:rsidRPr="00764BD6">
        <w:rPr>
          <w:b/>
          <w:iCs/>
          <w:highlight w:val="yellow"/>
        </w:rPr>
        <w:t>Table 2.1.11</w:t>
      </w:r>
      <w:r w:rsidRPr="00764BD6">
        <w:rPr>
          <w:iCs/>
          <w:highlight w:val="yellow"/>
        </w:rPr>
        <w:t xml:space="preserve">; approximately Cape Canaveral, Florida, to Cape Hatteras, North Carolina </w:t>
      </w:r>
      <w:r w:rsidRPr="00764BD6">
        <w:rPr>
          <w:b/>
          <w:iCs/>
          <w:highlight w:val="yellow"/>
        </w:rPr>
        <w:t>(Figure 2.1.1</w:t>
      </w:r>
      <w:r w:rsidR="0033281C">
        <w:rPr>
          <w:b/>
          <w:iCs/>
          <w:highlight w:val="yellow"/>
        </w:rPr>
        <w:t>2</w:t>
      </w:r>
      <w:r w:rsidRPr="00764BD6">
        <w:rPr>
          <w:b/>
          <w:iCs/>
          <w:highlight w:val="yellow"/>
        </w:rPr>
        <w:t>)</w:t>
      </w:r>
      <w:r w:rsidRPr="00764BD6">
        <w:rPr>
          <w:iCs/>
          <w:highlight w:val="yellow"/>
        </w:rPr>
        <w:t>.</w:t>
      </w:r>
    </w:p>
    <w:p w:rsidR="00764BD6" w:rsidRPr="00764BD6" w:rsidRDefault="00764BD6" w:rsidP="00764BD6">
      <w:pPr>
        <w:rPr>
          <w:highlight w:val="yellow"/>
        </w:rPr>
      </w:pPr>
    </w:p>
    <w:p w:rsidR="00764BD6" w:rsidRPr="00764BD6" w:rsidRDefault="00764BD6" w:rsidP="00764BD6">
      <w:pPr>
        <w:autoSpaceDE w:val="0"/>
        <w:autoSpaceDN w:val="0"/>
        <w:adjustRightInd w:val="0"/>
        <w:rPr>
          <w:highlight w:val="yellow"/>
        </w:rPr>
      </w:pPr>
      <w:r w:rsidRPr="00764BD6">
        <w:rPr>
          <w:iCs/>
          <w:highlight w:val="yellow"/>
        </w:rPr>
        <w:t xml:space="preserve">From November 1 through 30 and from April 1 through 30 each year, </w:t>
      </w:r>
      <w:r w:rsidRPr="00764BD6">
        <w:rPr>
          <w:highlight w:val="yellow"/>
        </w:rPr>
        <w:t xml:space="preserve">the boundaries </w:t>
      </w:r>
      <w:proofErr w:type="spellStart"/>
      <w:r w:rsidRPr="00764BD6">
        <w:rPr>
          <w:highlight w:val="yellow"/>
        </w:rPr>
        <w:t>off</w:t>
      </w:r>
      <w:proofErr w:type="spellEnd"/>
      <w:r w:rsidRPr="00764BD6">
        <w:rPr>
          <w:highlight w:val="yellow"/>
        </w:rPr>
        <w:t xml:space="preserve"> Florida and Georgia are nearly identical to the boundaries in </w:t>
      </w:r>
      <w:r w:rsidRPr="00764BD6">
        <w:rPr>
          <w:b/>
          <w:highlight w:val="yellow"/>
        </w:rPr>
        <w:t>Alternative 5</w:t>
      </w:r>
      <w:r w:rsidRPr="00764BD6">
        <w:rPr>
          <w:highlight w:val="yellow"/>
        </w:rPr>
        <w:t>.  Off North Carolina and South Carolina, the black sea bass pot closure</w:t>
      </w:r>
      <w:r w:rsidR="000242E5" w:rsidRPr="00764BD6">
        <w:rPr>
          <w:highlight w:val="yellow"/>
        </w:rPr>
        <w:fldChar w:fldCharType="begin"/>
      </w:r>
      <w:r w:rsidRPr="00764BD6">
        <w:rPr>
          <w:highlight w:val="yellow"/>
        </w:rPr>
        <w:instrText xml:space="preserve"> XE "</w:instrText>
      </w:r>
      <w:r w:rsidRPr="00764BD6">
        <w:rPr>
          <w:rStyle w:val="FiguretitleChar1"/>
          <w:rFonts w:eastAsiaTheme="minorHAnsi"/>
          <w:highlight w:val="yellow"/>
        </w:rPr>
        <w:instrText>black sea bass pot closure</w:instrText>
      </w:r>
      <w:r w:rsidRPr="00764BD6">
        <w:rPr>
          <w:highlight w:val="yellow"/>
        </w:rPr>
        <w:instrText xml:space="preserve">" </w:instrText>
      </w:r>
      <w:r w:rsidR="000242E5" w:rsidRPr="00764BD6">
        <w:rPr>
          <w:highlight w:val="yellow"/>
        </w:rPr>
        <w:fldChar w:fldCharType="end"/>
      </w:r>
      <w:r w:rsidRPr="00764BD6">
        <w:rPr>
          <w:highlight w:val="yellow"/>
        </w:rPr>
        <w:t xml:space="preserve"> applies in the exclusive economic zone in waters shallower than 25 meters, corresponding with </w:t>
      </w:r>
      <w:r w:rsidRPr="00764BD6">
        <w:rPr>
          <w:b/>
          <w:highlight w:val="yellow"/>
        </w:rPr>
        <w:t>Alternative 8</w:t>
      </w:r>
      <w:r w:rsidRPr="00764BD6">
        <w:rPr>
          <w:highlight w:val="yellow"/>
        </w:rPr>
        <w:t>.</w:t>
      </w:r>
    </w:p>
    <w:p w:rsidR="00764BD6" w:rsidRPr="00764BD6" w:rsidRDefault="00764BD6" w:rsidP="00764BD6">
      <w:pPr>
        <w:autoSpaceDE w:val="0"/>
        <w:autoSpaceDN w:val="0"/>
        <w:adjustRightInd w:val="0"/>
        <w:rPr>
          <w:highlight w:val="yellow"/>
        </w:rPr>
      </w:pPr>
    </w:p>
    <w:p w:rsidR="00764BD6" w:rsidRPr="00764BD6" w:rsidRDefault="00764BD6" w:rsidP="00764BD6">
      <w:pPr>
        <w:rPr>
          <w:iCs/>
          <w:highlight w:val="yellow"/>
        </w:rPr>
      </w:pPr>
      <w:r w:rsidRPr="00764BD6">
        <w:rPr>
          <w:iCs/>
          <w:highlight w:val="yellow"/>
        </w:rPr>
        <w:t>From December 1 through March 31, this area generally represents waters 25 m or shallower from 28° 21’ N (approximately Cape Canaveral, Florida) to Savannah, Georgia; from the Georgia/South Carolina border to Cape Hatteras, North Carolina, the closure applies to waters under Council management that are 30 m</w:t>
      </w:r>
      <w:r w:rsidR="00063A9C">
        <w:rPr>
          <w:iCs/>
          <w:highlight w:val="yellow"/>
        </w:rPr>
        <w:t>eters</w:t>
      </w:r>
      <w:r w:rsidRPr="00764BD6">
        <w:rPr>
          <w:iCs/>
          <w:highlight w:val="yellow"/>
        </w:rPr>
        <w:t xml:space="preserve"> or shallower and corresponds with </w:t>
      </w:r>
      <w:r w:rsidRPr="00764BD6">
        <w:rPr>
          <w:b/>
          <w:iCs/>
          <w:highlight w:val="yellow"/>
        </w:rPr>
        <w:t>Alternative 4</w:t>
      </w:r>
      <w:r w:rsidRPr="00764BD6">
        <w:rPr>
          <w:iCs/>
          <w:highlight w:val="yellow"/>
        </w:rPr>
        <w:t>.  This bathymetric area is based on right whale sightings (all demographic segments) and sightings per unit of effort (proxy of density) by depth and captures 97% and 96% of right whale sightings off the North Carolina/South Carolina area, and Florida/Georgia area, respectively.</w:t>
      </w:r>
    </w:p>
    <w:p w:rsidR="00764BD6" w:rsidRPr="00764BD6" w:rsidRDefault="00764BD6" w:rsidP="00764BD6">
      <w:pPr>
        <w:rPr>
          <w:iCs/>
          <w:highlight w:val="yellow"/>
        </w:rPr>
      </w:pPr>
    </w:p>
    <w:p w:rsidR="00764BD6" w:rsidRPr="00764BD6" w:rsidRDefault="00764BD6" w:rsidP="00764BD6">
      <w:pPr>
        <w:rPr>
          <w:iCs/>
          <w:highlight w:val="yellow"/>
        </w:rPr>
      </w:pPr>
      <w:r w:rsidRPr="00764BD6">
        <w:rPr>
          <w:iCs/>
          <w:highlight w:val="yellow"/>
        </w:rPr>
        <w:t>Note: Federal regulations would only apply to that portion of the area within the South Atlantic EEZ</w:t>
      </w:r>
      <w:r w:rsidR="000242E5" w:rsidRPr="00764BD6">
        <w:rPr>
          <w:iCs/>
          <w:highlight w:val="yellow"/>
        </w:rPr>
        <w:fldChar w:fldCharType="begin"/>
      </w:r>
      <w:r w:rsidRPr="00764BD6">
        <w:rPr>
          <w:highlight w:val="yellow"/>
        </w:rPr>
        <w:instrText xml:space="preserve"> XE "South Atlantic EEZ" </w:instrText>
      </w:r>
      <w:r w:rsidR="000242E5" w:rsidRPr="00764BD6">
        <w:rPr>
          <w:iCs/>
          <w:highlight w:val="yellow"/>
        </w:rPr>
        <w:fldChar w:fldCharType="end"/>
      </w:r>
      <w:r w:rsidRPr="00764BD6">
        <w:rPr>
          <w:iCs/>
          <w:highlight w:val="yellow"/>
        </w:rPr>
        <w:t>.  The states will be asked to implement compatible regulations within state waters.</w:t>
      </w:r>
    </w:p>
    <w:p w:rsidR="00764BD6" w:rsidRPr="00764BD6" w:rsidRDefault="00764BD6" w:rsidP="00764BD6">
      <w:pPr>
        <w:rPr>
          <w:iCs/>
          <w:highlight w:val="yellow"/>
        </w:rPr>
      </w:pPr>
    </w:p>
    <w:p w:rsidR="00764BD6" w:rsidRPr="00764BD6" w:rsidRDefault="00764BD6" w:rsidP="00764BD6">
      <w:pPr>
        <w:pStyle w:val="Tabletitle"/>
        <w:rPr>
          <w:b w:val="0"/>
          <w:highlight w:val="yellow"/>
        </w:rPr>
      </w:pPr>
      <w:proofErr w:type="gramStart"/>
      <w:r w:rsidRPr="00764BD6">
        <w:rPr>
          <w:highlight w:val="yellow"/>
        </w:rPr>
        <w:t>Table 2.1.10.</w:t>
      </w:r>
      <w:proofErr w:type="gramEnd"/>
      <w:r w:rsidRPr="00764BD6">
        <w:rPr>
          <w:highlight w:val="yellow"/>
        </w:rPr>
        <w:t xml:space="preserve">  </w:t>
      </w:r>
      <w:r w:rsidRPr="00764BD6">
        <w:rPr>
          <w:b w:val="0"/>
          <w:highlight w:val="yellow"/>
        </w:rPr>
        <w:t>Eastern boundary coordinates for the proposed black sea bass pot closure</w:t>
      </w:r>
      <w:r w:rsidR="000242E5" w:rsidRPr="00764BD6">
        <w:rPr>
          <w:b w:val="0"/>
          <w:highlight w:val="yellow"/>
        </w:rPr>
        <w:fldChar w:fldCharType="begin"/>
      </w:r>
      <w:r w:rsidRPr="00764BD6">
        <w:rPr>
          <w:b w:val="0"/>
          <w:highlight w:val="yellow"/>
        </w:rPr>
        <w:instrText xml:space="preserve"> XE "</w:instrText>
      </w:r>
      <w:r w:rsidRPr="00764BD6">
        <w:rPr>
          <w:rStyle w:val="FiguretitleChar1"/>
          <w:rFonts w:eastAsiaTheme="minorHAnsi"/>
          <w:b w:val="0"/>
          <w:highlight w:val="yellow"/>
        </w:rPr>
        <w:instrText>black sea bass pot closure</w:instrText>
      </w:r>
      <w:r w:rsidRPr="00764BD6">
        <w:rPr>
          <w:b w:val="0"/>
          <w:highlight w:val="yellow"/>
        </w:rPr>
        <w:instrText xml:space="preserve">" </w:instrText>
      </w:r>
      <w:r w:rsidR="000242E5" w:rsidRPr="00764BD6">
        <w:rPr>
          <w:b w:val="0"/>
          <w:highlight w:val="yellow"/>
        </w:rPr>
        <w:fldChar w:fldCharType="end"/>
      </w:r>
      <w:r w:rsidRPr="00764BD6">
        <w:rPr>
          <w:b w:val="0"/>
          <w:highlight w:val="yellow"/>
        </w:rPr>
        <w:t xml:space="preserve"> in </w:t>
      </w:r>
      <w:r w:rsidRPr="00764BD6">
        <w:rPr>
          <w:highlight w:val="yellow"/>
        </w:rPr>
        <w:t>Preferred Alternative 11</w:t>
      </w:r>
      <w:r w:rsidRPr="00764BD6">
        <w:rPr>
          <w:b w:val="0"/>
          <w:highlight w:val="yellow"/>
        </w:rPr>
        <w:t xml:space="preserve"> from November 1 through November 30 and April 1 through April 30.</w:t>
      </w:r>
    </w:p>
    <w:tbl>
      <w:tblPr>
        <w:tblStyle w:val="TableGrid"/>
        <w:tblW w:w="8928" w:type="dxa"/>
        <w:tblLayout w:type="fixed"/>
        <w:tblLook w:val="04A0"/>
      </w:tblPr>
      <w:tblGrid>
        <w:gridCol w:w="767"/>
        <w:gridCol w:w="1410"/>
        <w:gridCol w:w="2251"/>
        <w:gridCol w:w="820"/>
        <w:gridCol w:w="1408"/>
        <w:gridCol w:w="2272"/>
      </w:tblGrid>
      <w:tr w:rsidR="00764BD6" w:rsidRPr="00764BD6" w:rsidTr="004B4FC5">
        <w:tc>
          <w:tcPr>
            <w:tcW w:w="767" w:type="dxa"/>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Point</w:t>
            </w:r>
          </w:p>
        </w:tc>
        <w:tc>
          <w:tcPr>
            <w:tcW w:w="1410" w:type="dxa"/>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N Latitude</w:t>
            </w:r>
          </w:p>
        </w:tc>
        <w:tc>
          <w:tcPr>
            <w:tcW w:w="2251" w:type="dxa"/>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W Longitude</w:t>
            </w:r>
          </w:p>
        </w:tc>
        <w:tc>
          <w:tcPr>
            <w:tcW w:w="820" w:type="dxa"/>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Point</w:t>
            </w:r>
          </w:p>
        </w:tc>
        <w:tc>
          <w:tcPr>
            <w:tcW w:w="1408" w:type="dxa"/>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N Latitude</w:t>
            </w:r>
          </w:p>
        </w:tc>
        <w:tc>
          <w:tcPr>
            <w:tcW w:w="2272" w:type="dxa"/>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W Longitude</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35° 15’</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State/EEZ Boundary</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19</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 06’</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78° 31’</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35° 15’</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75° 09’</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20</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 05’</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78° 40’</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35° 06’</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75° 22’</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21</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 01’</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78° 43’</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4</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35° 06’</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75° 39’</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22</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32° 56’</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78° 57’</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5</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35° 01’</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75° 47’</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23</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32° 44’</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79° 04’</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6</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34° 54’</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75° 46’</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24</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32° 42’</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79° 13’</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34° 52’</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76° 04’</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25</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32° 34’</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79° 23’</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8</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34° 33’</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76° 22’</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26</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32° 25’</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79° 25’</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9</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34° 23’</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76° 18’</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27</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32° 23’</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79° 37</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10</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34° 21’</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76° 27’</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28</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31° 53’</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80° 09’</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11</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34° 25’</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76° 51’</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29</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31º 31’</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80º 33’</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12</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34° 09’</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77° 19’</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30</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30º 43’</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80º 49’</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13</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 44’</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77° 38’</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31</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30º 30’</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81º 01’</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14</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 25’</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77° 27’</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32</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29º 45’</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81º 01’</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15</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 22’</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77° 40’</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29º 31’</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80º 58’</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16</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 28’</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77° 41’</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34</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29º 13’</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80º 52’</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17</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 32’</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77° 53’</w:t>
            </w:r>
          </w:p>
        </w:tc>
        <w:tc>
          <w:tcPr>
            <w:tcW w:w="82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35</w:t>
            </w:r>
          </w:p>
        </w:tc>
        <w:tc>
          <w:tcPr>
            <w:tcW w:w="1408"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29º 13’</w:t>
            </w:r>
          </w:p>
        </w:tc>
        <w:tc>
          <w:tcPr>
            <w:tcW w:w="2272"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State/EEZ Boundary</w:t>
            </w:r>
          </w:p>
        </w:tc>
      </w:tr>
      <w:tr w:rsidR="00764BD6" w:rsidRPr="00764BD6" w:rsidTr="004B4FC5">
        <w:tc>
          <w:tcPr>
            <w:tcW w:w="767"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18</w:t>
            </w:r>
          </w:p>
        </w:tc>
        <w:tc>
          <w:tcPr>
            <w:tcW w:w="1410"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33° 22’</w:t>
            </w:r>
          </w:p>
        </w:tc>
        <w:tc>
          <w:tcPr>
            <w:tcW w:w="2251" w:type="dxa"/>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78° 26’</w:t>
            </w:r>
          </w:p>
        </w:tc>
        <w:tc>
          <w:tcPr>
            <w:tcW w:w="820" w:type="dxa"/>
          </w:tcPr>
          <w:p w:rsidR="00764BD6" w:rsidRPr="00764BD6" w:rsidRDefault="00764BD6" w:rsidP="00764BD6">
            <w:pPr>
              <w:jc w:val="center"/>
              <w:rPr>
                <w:rFonts w:ascii="Arial" w:hAnsi="Arial" w:cs="Arial"/>
                <w:highlight w:val="yellow"/>
              </w:rPr>
            </w:pPr>
          </w:p>
        </w:tc>
        <w:tc>
          <w:tcPr>
            <w:tcW w:w="1408" w:type="dxa"/>
          </w:tcPr>
          <w:p w:rsidR="00764BD6" w:rsidRPr="00764BD6" w:rsidRDefault="00764BD6" w:rsidP="00764BD6">
            <w:pPr>
              <w:jc w:val="center"/>
              <w:rPr>
                <w:rFonts w:ascii="Arial" w:hAnsi="Arial" w:cs="Arial"/>
                <w:highlight w:val="yellow"/>
              </w:rPr>
            </w:pPr>
          </w:p>
        </w:tc>
        <w:tc>
          <w:tcPr>
            <w:tcW w:w="2272" w:type="dxa"/>
          </w:tcPr>
          <w:p w:rsidR="00764BD6" w:rsidRPr="00764BD6" w:rsidRDefault="00764BD6" w:rsidP="00764BD6">
            <w:pPr>
              <w:jc w:val="center"/>
              <w:rPr>
                <w:rFonts w:ascii="Arial" w:hAnsi="Arial" w:cs="Arial"/>
                <w:highlight w:val="yellow"/>
              </w:rPr>
            </w:pPr>
          </w:p>
        </w:tc>
      </w:tr>
    </w:tbl>
    <w:p w:rsidR="00764BD6" w:rsidRPr="00764BD6" w:rsidRDefault="00764BD6" w:rsidP="00764BD6">
      <w:pPr>
        <w:rPr>
          <w:iCs/>
          <w:sz w:val="20"/>
          <w:szCs w:val="20"/>
          <w:highlight w:val="yellow"/>
        </w:rPr>
      </w:pPr>
      <w:r w:rsidRPr="00764BD6">
        <w:rPr>
          <w:iCs/>
          <w:sz w:val="20"/>
          <w:szCs w:val="20"/>
          <w:highlight w:val="yellow"/>
        </w:rPr>
        <w:t>Source: Amanda Frick, NMFS SERO</w:t>
      </w:r>
    </w:p>
    <w:p w:rsidR="00764BD6" w:rsidRPr="00764BD6" w:rsidRDefault="00764BD6" w:rsidP="00764BD6">
      <w:pPr>
        <w:pStyle w:val="Tabletitle"/>
        <w:rPr>
          <w:rFonts w:cs="Arial"/>
          <w:highlight w:val="yellow"/>
        </w:rPr>
      </w:pPr>
    </w:p>
    <w:p w:rsidR="00764BD6" w:rsidRPr="00764BD6" w:rsidRDefault="00764BD6" w:rsidP="00764BD6">
      <w:pPr>
        <w:rPr>
          <w:iCs/>
          <w:highlight w:val="yellow"/>
        </w:rPr>
      </w:pPr>
    </w:p>
    <w:p w:rsidR="00764BD6" w:rsidRPr="00764BD6" w:rsidRDefault="00764BD6" w:rsidP="00764BD6">
      <w:pPr>
        <w:rPr>
          <w:b/>
          <w:highlight w:val="yellow"/>
        </w:rPr>
      </w:pPr>
      <w:r w:rsidRPr="00764BD6">
        <w:rPr>
          <w:b/>
          <w:noProof/>
          <w:highlight w:val="yellow"/>
        </w:rPr>
        <w:drawing>
          <wp:inline distT="0" distB="0" distL="0" distR="0">
            <wp:extent cx="5943600" cy="7363998"/>
            <wp:effectExtent l="0" t="0" r="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7363998"/>
                    </a:xfrm>
                    <a:prstGeom prst="rect">
                      <a:avLst/>
                    </a:prstGeom>
                    <a:noFill/>
                    <a:ln>
                      <a:noFill/>
                    </a:ln>
                  </pic:spPr>
                </pic:pic>
              </a:graphicData>
            </a:graphic>
          </wp:inline>
        </w:drawing>
      </w:r>
    </w:p>
    <w:p w:rsidR="00764BD6" w:rsidRPr="00764BD6" w:rsidRDefault="00764BD6" w:rsidP="00764BD6">
      <w:pPr>
        <w:pStyle w:val="Figuretitle"/>
        <w:rPr>
          <w:rFonts w:ascii="Arial" w:hAnsi="Arial" w:cs="Arial"/>
          <w:sz w:val="20"/>
          <w:szCs w:val="20"/>
          <w:highlight w:val="yellow"/>
        </w:rPr>
      </w:pPr>
      <w:proofErr w:type="gramStart"/>
      <w:r w:rsidRPr="00764BD6">
        <w:rPr>
          <w:rStyle w:val="FiguretitleChar1"/>
          <w:rFonts w:ascii="Arial" w:eastAsia="Courier New" w:hAnsi="Arial" w:cs="Arial"/>
          <w:b/>
          <w:sz w:val="20"/>
          <w:szCs w:val="20"/>
          <w:highlight w:val="yellow"/>
        </w:rPr>
        <w:t>Figure 2.1.1</w:t>
      </w:r>
      <w:r w:rsidR="0033281C">
        <w:rPr>
          <w:rStyle w:val="FiguretitleChar1"/>
          <w:rFonts w:ascii="Arial" w:eastAsia="Courier New" w:hAnsi="Arial" w:cs="Arial"/>
          <w:b/>
          <w:sz w:val="20"/>
          <w:szCs w:val="20"/>
          <w:highlight w:val="yellow"/>
        </w:rPr>
        <w:t>1</w:t>
      </w:r>
      <w:r w:rsidRPr="00764BD6">
        <w:rPr>
          <w:rStyle w:val="FiguretitleChar1"/>
          <w:rFonts w:ascii="Arial" w:eastAsia="Courier New" w:hAnsi="Arial" w:cs="Arial"/>
          <w:b/>
          <w:sz w:val="20"/>
          <w:szCs w:val="20"/>
          <w:highlight w:val="yellow"/>
        </w:rPr>
        <w:t>.</w:t>
      </w:r>
      <w:proofErr w:type="gramEnd"/>
      <w:r w:rsidRPr="00764BD6">
        <w:rPr>
          <w:rStyle w:val="FiguretitleChar1"/>
          <w:rFonts w:ascii="Arial" w:eastAsia="Courier New" w:hAnsi="Arial" w:cs="Arial"/>
          <w:sz w:val="20"/>
          <w:szCs w:val="20"/>
          <w:highlight w:val="yellow"/>
        </w:rPr>
        <w:t xml:space="preserve">  </w:t>
      </w:r>
      <w:proofErr w:type="gramStart"/>
      <w:r w:rsidRPr="00764BD6">
        <w:rPr>
          <w:rStyle w:val="FiguretitleChar1"/>
          <w:rFonts w:ascii="Arial" w:eastAsia="Courier New" w:hAnsi="Arial" w:cs="Arial"/>
          <w:sz w:val="20"/>
          <w:szCs w:val="20"/>
          <w:highlight w:val="yellow"/>
        </w:rPr>
        <w:t>Area for the proposed black sea bass pot closure</w:t>
      </w:r>
      <w:r w:rsidR="000242E5" w:rsidRPr="00764BD6">
        <w:rPr>
          <w:rStyle w:val="FiguretitleChar1"/>
          <w:rFonts w:ascii="Arial" w:eastAsia="Courier New" w:hAnsi="Arial" w:cs="Arial"/>
          <w:sz w:val="20"/>
          <w:szCs w:val="20"/>
          <w:highlight w:val="yellow"/>
        </w:rPr>
        <w:fldChar w:fldCharType="begin"/>
      </w:r>
      <w:r w:rsidRPr="00764BD6">
        <w:rPr>
          <w:rFonts w:ascii="Arial" w:hAnsi="Arial" w:cs="Arial"/>
          <w:sz w:val="20"/>
          <w:szCs w:val="20"/>
          <w:highlight w:val="yellow"/>
        </w:rPr>
        <w:instrText xml:space="preserve"> XE "</w:instrText>
      </w:r>
      <w:r w:rsidRPr="00764BD6">
        <w:rPr>
          <w:rStyle w:val="FiguretitleChar1"/>
          <w:rFonts w:ascii="Arial" w:eastAsiaTheme="minorHAnsi" w:hAnsi="Arial" w:cs="Arial"/>
          <w:sz w:val="20"/>
          <w:szCs w:val="20"/>
          <w:highlight w:val="yellow"/>
        </w:rPr>
        <w:instrText>black sea bass pot closure</w:instrText>
      </w:r>
      <w:r w:rsidRPr="00764BD6">
        <w:rPr>
          <w:rFonts w:ascii="Arial" w:hAnsi="Arial" w:cs="Arial"/>
          <w:sz w:val="20"/>
          <w:szCs w:val="20"/>
          <w:highlight w:val="yellow"/>
        </w:rPr>
        <w:instrText xml:space="preserve">" </w:instrText>
      </w:r>
      <w:r w:rsidR="000242E5" w:rsidRPr="00764BD6">
        <w:rPr>
          <w:rStyle w:val="FiguretitleChar1"/>
          <w:rFonts w:ascii="Arial" w:eastAsia="Courier New" w:hAnsi="Arial" w:cs="Arial"/>
          <w:sz w:val="20"/>
          <w:szCs w:val="20"/>
          <w:highlight w:val="yellow"/>
        </w:rPr>
        <w:fldChar w:fldCharType="end"/>
      </w:r>
      <w:r w:rsidRPr="00764BD6">
        <w:rPr>
          <w:rStyle w:val="FiguretitleChar1"/>
          <w:rFonts w:ascii="Arial" w:eastAsia="Courier New" w:hAnsi="Arial" w:cs="Arial"/>
          <w:sz w:val="20"/>
          <w:szCs w:val="20"/>
          <w:highlight w:val="yellow"/>
        </w:rPr>
        <w:t xml:space="preserve"> in </w:t>
      </w:r>
      <w:r w:rsidRPr="00D073BA">
        <w:rPr>
          <w:rStyle w:val="FiguretitleChar1"/>
          <w:rFonts w:ascii="Arial" w:eastAsia="Courier New" w:hAnsi="Arial" w:cs="Arial"/>
          <w:b/>
          <w:sz w:val="20"/>
          <w:szCs w:val="20"/>
          <w:highlight w:val="yellow"/>
        </w:rPr>
        <w:t>Preferred</w:t>
      </w:r>
      <w:r w:rsidRPr="00764BD6">
        <w:rPr>
          <w:rStyle w:val="FiguretitleChar1"/>
          <w:rFonts w:ascii="Arial" w:eastAsia="Courier New" w:hAnsi="Arial" w:cs="Arial"/>
          <w:sz w:val="20"/>
          <w:szCs w:val="20"/>
          <w:highlight w:val="yellow"/>
        </w:rPr>
        <w:t xml:space="preserve"> </w:t>
      </w:r>
      <w:r w:rsidRPr="00764BD6">
        <w:rPr>
          <w:rStyle w:val="FiguretitleChar1"/>
          <w:rFonts w:ascii="Arial" w:eastAsia="Courier New" w:hAnsi="Arial" w:cs="Arial"/>
          <w:b/>
          <w:sz w:val="20"/>
          <w:szCs w:val="20"/>
          <w:highlight w:val="yellow"/>
        </w:rPr>
        <w:t>Alternative 1</w:t>
      </w:r>
      <w:r w:rsidR="0033281C">
        <w:rPr>
          <w:rStyle w:val="FiguretitleChar1"/>
          <w:rFonts w:ascii="Arial" w:eastAsia="Courier New" w:hAnsi="Arial" w:cs="Arial"/>
          <w:b/>
          <w:sz w:val="20"/>
          <w:szCs w:val="20"/>
          <w:highlight w:val="yellow"/>
        </w:rPr>
        <w:t>1</w:t>
      </w:r>
      <w:r w:rsidRPr="00764BD6">
        <w:rPr>
          <w:rStyle w:val="FiguretitleChar1"/>
          <w:rFonts w:ascii="Arial" w:eastAsia="Courier New" w:hAnsi="Arial" w:cs="Arial"/>
          <w:sz w:val="20"/>
          <w:szCs w:val="20"/>
          <w:highlight w:val="yellow"/>
        </w:rPr>
        <w:t xml:space="preserve"> from November 1 through November 30 and April 1 through April 30.</w:t>
      </w:r>
      <w:proofErr w:type="gramEnd"/>
    </w:p>
    <w:p w:rsidR="00764BD6" w:rsidRPr="00764BD6" w:rsidRDefault="00764BD6" w:rsidP="00764BD6">
      <w:pPr>
        <w:rPr>
          <w:iCs/>
          <w:sz w:val="20"/>
          <w:szCs w:val="20"/>
          <w:highlight w:val="yellow"/>
        </w:rPr>
      </w:pPr>
      <w:r w:rsidRPr="00764BD6">
        <w:rPr>
          <w:iCs/>
          <w:sz w:val="20"/>
          <w:szCs w:val="20"/>
          <w:highlight w:val="yellow"/>
        </w:rPr>
        <w:t>Source: Amanda Frick, NMFS SERO</w:t>
      </w:r>
    </w:p>
    <w:p w:rsidR="00764BD6" w:rsidRPr="00764BD6" w:rsidRDefault="00764BD6" w:rsidP="00764BD6">
      <w:pPr>
        <w:pStyle w:val="Tabletitle"/>
        <w:rPr>
          <w:rFonts w:cs="Arial"/>
          <w:highlight w:val="yellow"/>
        </w:rPr>
      </w:pPr>
      <w:r w:rsidRPr="00764BD6">
        <w:rPr>
          <w:highlight w:val="yellow"/>
        </w:rPr>
        <w:br w:type="page"/>
      </w:r>
      <w:proofErr w:type="gramStart"/>
      <w:r w:rsidRPr="00764BD6">
        <w:rPr>
          <w:rFonts w:cs="Arial"/>
          <w:highlight w:val="yellow"/>
        </w:rPr>
        <w:lastRenderedPageBreak/>
        <w:t>Table 2.1.11.</w:t>
      </w:r>
      <w:proofErr w:type="gramEnd"/>
      <w:r w:rsidRPr="00764BD6">
        <w:rPr>
          <w:rFonts w:cs="Arial"/>
          <w:highlight w:val="yellow"/>
        </w:rPr>
        <w:t xml:space="preserve">  </w:t>
      </w:r>
      <w:r w:rsidRPr="00764BD6">
        <w:rPr>
          <w:rFonts w:cs="Arial"/>
          <w:b w:val="0"/>
          <w:highlight w:val="yellow"/>
        </w:rPr>
        <w:t>Eastern boundary coordinates for the proposed black sea bass pot closure</w:t>
      </w:r>
      <w:r w:rsidR="000242E5" w:rsidRPr="00764BD6">
        <w:rPr>
          <w:rFonts w:cs="Arial"/>
          <w:b w:val="0"/>
          <w:highlight w:val="yellow"/>
        </w:rPr>
        <w:fldChar w:fldCharType="begin"/>
      </w:r>
      <w:r w:rsidRPr="00764BD6">
        <w:rPr>
          <w:rFonts w:cs="Arial"/>
          <w:b w:val="0"/>
          <w:highlight w:val="yellow"/>
        </w:rPr>
        <w:instrText xml:space="preserve"> XE "</w:instrText>
      </w:r>
      <w:r w:rsidRPr="00764BD6">
        <w:rPr>
          <w:rStyle w:val="FiguretitleChar1"/>
          <w:rFonts w:eastAsiaTheme="minorHAnsi" w:cs="Arial"/>
          <w:b w:val="0"/>
          <w:highlight w:val="yellow"/>
        </w:rPr>
        <w:instrText>black sea bass pot closure</w:instrText>
      </w:r>
      <w:r w:rsidRPr="00764BD6">
        <w:rPr>
          <w:rFonts w:cs="Arial"/>
          <w:b w:val="0"/>
          <w:highlight w:val="yellow"/>
        </w:rPr>
        <w:instrText xml:space="preserve">" </w:instrText>
      </w:r>
      <w:r w:rsidR="000242E5" w:rsidRPr="00764BD6">
        <w:rPr>
          <w:rFonts w:cs="Arial"/>
          <w:b w:val="0"/>
          <w:highlight w:val="yellow"/>
        </w:rPr>
        <w:fldChar w:fldCharType="end"/>
      </w:r>
      <w:r w:rsidRPr="00764BD6">
        <w:rPr>
          <w:rFonts w:cs="Arial"/>
          <w:b w:val="0"/>
          <w:highlight w:val="yellow"/>
        </w:rPr>
        <w:t xml:space="preserve"> in </w:t>
      </w:r>
      <w:r w:rsidRPr="00764BD6">
        <w:rPr>
          <w:rFonts w:cs="Arial"/>
          <w:highlight w:val="yellow"/>
        </w:rPr>
        <w:t>Preferred Alternative 11</w:t>
      </w:r>
      <w:r w:rsidRPr="00764BD6">
        <w:rPr>
          <w:rFonts w:cs="Arial"/>
          <w:b w:val="0"/>
          <w:highlight w:val="yellow"/>
        </w:rPr>
        <w:t xml:space="preserve"> for December 1 through March 31.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549"/>
        <w:gridCol w:w="1086"/>
        <w:gridCol w:w="2386"/>
        <w:gridCol w:w="990"/>
        <w:gridCol w:w="1536"/>
        <w:gridCol w:w="2334"/>
      </w:tblGrid>
      <w:tr w:rsidR="00764BD6" w:rsidRPr="00764BD6" w:rsidTr="00764BD6">
        <w:trPr>
          <w:trHeight w:val="323"/>
        </w:trPr>
        <w:tc>
          <w:tcPr>
            <w:tcW w:w="767" w:type="dxa"/>
            <w:shd w:val="clear" w:color="auto" w:fill="D9D9D9"/>
            <w:vAlign w:val="center"/>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br w:type="page"/>
              <w:t>Point</w:t>
            </w:r>
          </w:p>
        </w:tc>
        <w:tc>
          <w:tcPr>
            <w:tcW w:w="1635" w:type="dxa"/>
            <w:gridSpan w:val="2"/>
            <w:shd w:val="clear" w:color="auto" w:fill="D9D9D9"/>
            <w:vAlign w:val="center"/>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N Latitude</w:t>
            </w:r>
          </w:p>
        </w:tc>
        <w:tc>
          <w:tcPr>
            <w:tcW w:w="2386" w:type="dxa"/>
            <w:shd w:val="clear" w:color="auto" w:fill="D9D9D9"/>
            <w:vAlign w:val="center"/>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W Longitude</w:t>
            </w:r>
          </w:p>
        </w:tc>
        <w:tc>
          <w:tcPr>
            <w:tcW w:w="990" w:type="dxa"/>
            <w:shd w:val="clear" w:color="auto" w:fill="D9D9D9"/>
            <w:vAlign w:val="center"/>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br w:type="page"/>
              <w:t>Point</w:t>
            </w:r>
          </w:p>
        </w:tc>
        <w:tc>
          <w:tcPr>
            <w:tcW w:w="1536" w:type="dxa"/>
            <w:shd w:val="clear" w:color="auto" w:fill="D9D9D9"/>
            <w:vAlign w:val="center"/>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N Latitude</w:t>
            </w:r>
          </w:p>
        </w:tc>
        <w:tc>
          <w:tcPr>
            <w:tcW w:w="2334" w:type="dxa"/>
            <w:shd w:val="clear" w:color="auto" w:fill="D9D9D9"/>
          </w:tcPr>
          <w:p w:rsidR="00764BD6" w:rsidRPr="00764BD6" w:rsidRDefault="00764BD6" w:rsidP="00764BD6">
            <w:pPr>
              <w:jc w:val="center"/>
              <w:rPr>
                <w:rFonts w:ascii="Arial" w:hAnsi="Arial" w:cs="Arial"/>
                <w:b/>
                <w:highlight w:val="yellow"/>
              </w:rPr>
            </w:pPr>
            <w:r w:rsidRPr="00764BD6">
              <w:rPr>
                <w:rFonts w:ascii="Arial" w:hAnsi="Arial" w:cs="Arial"/>
                <w:b/>
                <w:sz w:val="22"/>
                <w:highlight w:val="yellow"/>
              </w:rPr>
              <w:t>W Longitude</w:t>
            </w:r>
          </w:p>
        </w:tc>
      </w:tr>
      <w:tr w:rsidR="00764BD6" w:rsidRPr="00764BD6" w:rsidTr="00764BD6">
        <w:trPr>
          <w:trHeight w:val="288"/>
        </w:trPr>
        <w:tc>
          <w:tcPr>
            <w:tcW w:w="767" w:type="dxa"/>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w:t>
            </w:r>
          </w:p>
        </w:tc>
        <w:tc>
          <w:tcPr>
            <w:tcW w:w="549" w:type="dxa"/>
            <w:tcBorders>
              <w:right w:val="nil"/>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35°</w:t>
            </w:r>
          </w:p>
        </w:tc>
        <w:tc>
          <w:tcPr>
            <w:tcW w:w="1086" w:type="dxa"/>
            <w:tcBorders>
              <w:left w:val="nil"/>
            </w:tcBorders>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15’</w:t>
            </w:r>
          </w:p>
        </w:tc>
        <w:tc>
          <w:tcPr>
            <w:tcW w:w="2386" w:type="dxa"/>
            <w:vAlign w:val="bottom"/>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State/EEZ boundary</w:t>
            </w:r>
          </w:p>
        </w:tc>
        <w:tc>
          <w:tcPr>
            <w:tcW w:w="990" w:type="dxa"/>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15</w:t>
            </w:r>
          </w:p>
        </w:tc>
        <w:tc>
          <w:tcPr>
            <w:tcW w:w="1536" w:type="dxa"/>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33° 01’</w:t>
            </w:r>
          </w:p>
        </w:tc>
        <w:tc>
          <w:tcPr>
            <w:tcW w:w="2334" w:type="dxa"/>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78° 38’</w:t>
            </w:r>
          </w:p>
        </w:tc>
      </w:tr>
      <w:tr w:rsidR="00764BD6" w:rsidRPr="00764BD6" w:rsidTr="00764BD6">
        <w:trPr>
          <w:trHeight w:val="288"/>
        </w:trPr>
        <w:tc>
          <w:tcPr>
            <w:tcW w:w="767" w:type="dxa"/>
            <w:shd w:val="clear" w:color="auto" w:fill="F2F2F2" w:themeFill="background1" w:themeFillShade="F2"/>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2</w:t>
            </w:r>
          </w:p>
        </w:tc>
        <w:tc>
          <w:tcPr>
            <w:tcW w:w="549" w:type="dxa"/>
            <w:tcBorders>
              <w:right w:val="nil"/>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35°</w:t>
            </w:r>
          </w:p>
        </w:tc>
        <w:tc>
          <w:tcPr>
            <w:tcW w:w="1086" w:type="dxa"/>
            <w:tcBorders>
              <w:left w:val="nil"/>
            </w:tcBorders>
            <w:shd w:val="clear" w:color="auto" w:fill="F2F2F2" w:themeFill="background1" w:themeFillShade="F2"/>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15’</w:t>
            </w:r>
          </w:p>
        </w:tc>
        <w:tc>
          <w:tcPr>
            <w:tcW w:w="238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75° 08’</w:t>
            </w:r>
          </w:p>
        </w:tc>
        <w:tc>
          <w:tcPr>
            <w:tcW w:w="990" w:type="dxa"/>
            <w:tcBorders>
              <w:right w:val="single" w:sz="4" w:space="0" w:color="auto"/>
            </w:tcBorders>
            <w:shd w:val="clear" w:color="auto" w:fill="F2F2F2" w:themeFill="background1" w:themeFillShade="F2"/>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16</w:t>
            </w:r>
          </w:p>
        </w:tc>
        <w:tc>
          <w:tcPr>
            <w:tcW w:w="153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32° 40’</w:t>
            </w:r>
          </w:p>
        </w:tc>
        <w:tc>
          <w:tcPr>
            <w:tcW w:w="2334"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79° 01’</w:t>
            </w:r>
          </w:p>
        </w:tc>
      </w:tr>
      <w:tr w:rsidR="00764BD6" w:rsidRPr="00764BD6" w:rsidTr="00764BD6">
        <w:trPr>
          <w:trHeight w:val="288"/>
        </w:trPr>
        <w:tc>
          <w:tcPr>
            <w:tcW w:w="767" w:type="dxa"/>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3</w:t>
            </w:r>
          </w:p>
        </w:tc>
        <w:tc>
          <w:tcPr>
            <w:tcW w:w="549" w:type="dxa"/>
            <w:tcBorders>
              <w:right w:val="nil"/>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34°</w:t>
            </w:r>
          </w:p>
        </w:tc>
        <w:tc>
          <w:tcPr>
            <w:tcW w:w="1086" w:type="dxa"/>
            <w:tcBorders>
              <w:left w:val="nil"/>
            </w:tcBorders>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58’</w:t>
            </w:r>
          </w:p>
        </w:tc>
        <w:tc>
          <w:tcPr>
            <w:tcW w:w="2386" w:type="dxa"/>
            <w:tcBorders>
              <w:right w:val="single" w:sz="4" w:space="0" w:color="auto"/>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75° 41’</w:t>
            </w:r>
          </w:p>
        </w:tc>
        <w:tc>
          <w:tcPr>
            <w:tcW w:w="990" w:type="dxa"/>
            <w:tcBorders>
              <w:right w:val="single" w:sz="4" w:space="0" w:color="auto"/>
            </w:tcBorders>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17</w:t>
            </w:r>
          </w:p>
        </w:tc>
        <w:tc>
          <w:tcPr>
            <w:tcW w:w="1536"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32° 36’</w:t>
            </w:r>
          </w:p>
        </w:tc>
        <w:tc>
          <w:tcPr>
            <w:tcW w:w="2334"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79° 18’</w:t>
            </w:r>
          </w:p>
        </w:tc>
      </w:tr>
      <w:tr w:rsidR="00764BD6" w:rsidRPr="00764BD6" w:rsidTr="00764BD6">
        <w:trPr>
          <w:trHeight w:val="288"/>
        </w:trPr>
        <w:tc>
          <w:tcPr>
            <w:tcW w:w="767" w:type="dxa"/>
            <w:shd w:val="clear" w:color="auto" w:fill="F2F2F2" w:themeFill="background1" w:themeFillShade="F2"/>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4</w:t>
            </w:r>
          </w:p>
        </w:tc>
        <w:tc>
          <w:tcPr>
            <w:tcW w:w="549" w:type="dxa"/>
            <w:tcBorders>
              <w:right w:val="nil"/>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34°</w:t>
            </w:r>
          </w:p>
        </w:tc>
        <w:tc>
          <w:tcPr>
            <w:tcW w:w="1086" w:type="dxa"/>
            <w:tcBorders>
              <w:left w:val="nil"/>
            </w:tcBorders>
            <w:shd w:val="clear" w:color="auto" w:fill="F2F2F2" w:themeFill="background1" w:themeFillShade="F2"/>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49’</w:t>
            </w:r>
          </w:p>
        </w:tc>
        <w:tc>
          <w:tcPr>
            <w:tcW w:w="238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75° 50’</w:t>
            </w:r>
          </w:p>
        </w:tc>
        <w:tc>
          <w:tcPr>
            <w:tcW w:w="990" w:type="dxa"/>
            <w:tcBorders>
              <w:right w:val="single" w:sz="4" w:space="0" w:color="auto"/>
            </w:tcBorders>
            <w:shd w:val="clear" w:color="auto" w:fill="F2F2F2" w:themeFill="background1" w:themeFillShade="F2"/>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18</w:t>
            </w:r>
          </w:p>
        </w:tc>
        <w:tc>
          <w:tcPr>
            <w:tcW w:w="153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32° 19’</w:t>
            </w:r>
          </w:p>
        </w:tc>
        <w:tc>
          <w:tcPr>
            <w:tcW w:w="2334"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79° 22’</w:t>
            </w:r>
          </w:p>
        </w:tc>
      </w:tr>
      <w:tr w:rsidR="00764BD6" w:rsidRPr="00764BD6" w:rsidTr="00764BD6">
        <w:trPr>
          <w:trHeight w:val="288"/>
        </w:trPr>
        <w:tc>
          <w:tcPr>
            <w:tcW w:w="767" w:type="dxa"/>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5</w:t>
            </w:r>
          </w:p>
        </w:tc>
        <w:tc>
          <w:tcPr>
            <w:tcW w:w="549" w:type="dxa"/>
            <w:tcBorders>
              <w:right w:val="nil"/>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34°</w:t>
            </w:r>
          </w:p>
        </w:tc>
        <w:tc>
          <w:tcPr>
            <w:tcW w:w="1086" w:type="dxa"/>
            <w:tcBorders>
              <w:left w:val="nil"/>
            </w:tcBorders>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47’</w:t>
            </w:r>
          </w:p>
        </w:tc>
        <w:tc>
          <w:tcPr>
            <w:tcW w:w="2386" w:type="dxa"/>
            <w:tcBorders>
              <w:right w:val="single" w:sz="4" w:space="0" w:color="auto"/>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76° 05’</w:t>
            </w:r>
          </w:p>
        </w:tc>
        <w:tc>
          <w:tcPr>
            <w:tcW w:w="990" w:type="dxa"/>
            <w:tcBorders>
              <w:right w:val="single" w:sz="4" w:space="0" w:color="auto"/>
            </w:tcBorders>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19</w:t>
            </w:r>
          </w:p>
        </w:tc>
        <w:tc>
          <w:tcPr>
            <w:tcW w:w="1536"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32° 16’</w:t>
            </w:r>
          </w:p>
        </w:tc>
        <w:tc>
          <w:tcPr>
            <w:tcW w:w="2334"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79° 37’</w:t>
            </w:r>
          </w:p>
        </w:tc>
      </w:tr>
      <w:tr w:rsidR="00764BD6" w:rsidRPr="00764BD6" w:rsidTr="00764BD6">
        <w:trPr>
          <w:trHeight w:val="288"/>
        </w:trPr>
        <w:tc>
          <w:tcPr>
            <w:tcW w:w="767" w:type="dxa"/>
            <w:shd w:val="clear" w:color="auto" w:fill="F2F2F2" w:themeFill="background1" w:themeFillShade="F2"/>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6</w:t>
            </w:r>
          </w:p>
        </w:tc>
        <w:tc>
          <w:tcPr>
            <w:tcW w:w="549" w:type="dxa"/>
            <w:tcBorders>
              <w:right w:val="nil"/>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34°</w:t>
            </w:r>
          </w:p>
        </w:tc>
        <w:tc>
          <w:tcPr>
            <w:tcW w:w="1086" w:type="dxa"/>
            <w:tcBorders>
              <w:left w:val="nil"/>
            </w:tcBorders>
            <w:shd w:val="clear" w:color="auto" w:fill="F2F2F2" w:themeFill="background1" w:themeFillShade="F2"/>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31’</w:t>
            </w:r>
          </w:p>
        </w:tc>
        <w:tc>
          <w:tcPr>
            <w:tcW w:w="238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76° 18’</w:t>
            </w:r>
          </w:p>
        </w:tc>
        <w:tc>
          <w:tcPr>
            <w:tcW w:w="990" w:type="dxa"/>
            <w:tcBorders>
              <w:right w:val="single" w:sz="4" w:space="0" w:color="auto"/>
            </w:tcBorders>
            <w:shd w:val="clear" w:color="auto" w:fill="F2F2F2" w:themeFill="background1" w:themeFillShade="F2"/>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20</w:t>
            </w:r>
          </w:p>
        </w:tc>
        <w:tc>
          <w:tcPr>
            <w:tcW w:w="153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32° 03’</w:t>
            </w:r>
          </w:p>
        </w:tc>
        <w:tc>
          <w:tcPr>
            <w:tcW w:w="2334"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79° 48’</w:t>
            </w:r>
          </w:p>
        </w:tc>
      </w:tr>
      <w:tr w:rsidR="00764BD6" w:rsidRPr="00764BD6" w:rsidTr="00764BD6">
        <w:trPr>
          <w:trHeight w:val="288"/>
        </w:trPr>
        <w:tc>
          <w:tcPr>
            <w:tcW w:w="767" w:type="dxa"/>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7</w:t>
            </w:r>
          </w:p>
        </w:tc>
        <w:tc>
          <w:tcPr>
            <w:tcW w:w="549" w:type="dxa"/>
            <w:tcBorders>
              <w:right w:val="nil"/>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34°</w:t>
            </w:r>
          </w:p>
        </w:tc>
        <w:tc>
          <w:tcPr>
            <w:tcW w:w="1086" w:type="dxa"/>
            <w:tcBorders>
              <w:left w:val="nil"/>
            </w:tcBorders>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20’</w:t>
            </w:r>
          </w:p>
        </w:tc>
        <w:tc>
          <w:tcPr>
            <w:tcW w:w="2386" w:type="dxa"/>
            <w:tcBorders>
              <w:right w:val="single" w:sz="4" w:space="0" w:color="auto"/>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76° 13</w:t>
            </w:r>
          </w:p>
        </w:tc>
        <w:tc>
          <w:tcPr>
            <w:tcW w:w="990" w:type="dxa"/>
            <w:tcBorders>
              <w:right w:val="single" w:sz="4" w:space="0" w:color="auto"/>
            </w:tcBorders>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21</w:t>
            </w:r>
          </w:p>
        </w:tc>
        <w:tc>
          <w:tcPr>
            <w:tcW w:w="1536"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31° 39’</w:t>
            </w:r>
          </w:p>
        </w:tc>
        <w:tc>
          <w:tcPr>
            <w:tcW w:w="2334"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80° 27’</w:t>
            </w:r>
          </w:p>
        </w:tc>
      </w:tr>
      <w:tr w:rsidR="00764BD6" w:rsidRPr="00764BD6" w:rsidTr="00764BD6">
        <w:trPr>
          <w:trHeight w:val="288"/>
        </w:trPr>
        <w:tc>
          <w:tcPr>
            <w:tcW w:w="767" w:type="dxa"/>
            <w:shd w:val="clear" w:color="auto" w:fill="F2F2F2" w:themeFill="background1" w:themeFillShade="F2"/>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8</w:t>
            </w:r>
          </w:p>
        </w:tc>
        <w:tc>
          <w:tcPr>
            <w:tcW w:w="549" w:type="dxa"/>
            <w:tcBorders>
              <w:right w:val="nil"/>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34°</w:t>
            </w:r>
          </w:p>
        </w:tc>
        <w:tc>
          <w:tcPr>
            <w:tcW w:w="1086" w:type="dxa"/>
            <w:tcBorders>
              <w:left w:val="nil"/>
            </w:tcBorders>
            <w:shd w:val="clear" w:color="auto" w:fill="F2F2F2" w:themeFill="background1" w:themeFillShade="F2"/>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12’</w:t>
            </w:r>
          </w:p>
        </w:tc>
        <w:tc>
          <w:tcPr>
            <w:tcW w:w="238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77° 00’</w:t>
            </w:r>
          </w:p>
        </w:tc>
        <w:tc>
          <w:tcPr>
            <w:tcW w:w="990" w:type="dxa"/>
            <w:tcBorders>
              <w:right w:val="single" w:sz="4" w:space="0" w:color="auto"/>
            </w:tcBorders>
            <w:shd w:val="clear" w:color="auto" w:fill="F2F2F2" w:themeFill="background1" w:themeFillShade="F2"/>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22</w:t>
            </w:r>
          </w:p>
        </w:tc>
        <w:tc>
          <w:tcPr>
            <w:tcW w:w="153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30° 58’</w:t>
            </w:r>
          </w:p>
        </w:tc>
        <w:tc>
          <w:tcPr>
            <w:tcW w:w="2334"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80° 47’</w:t>
            </w:r>
          </w:p>
        </w:tc>
      </w:tr>
      <w:tr w:rsidR="00764BD6" w:rsidRPr="00764BD6" w:rsidTr="00764BD6">
        <w:trPr>
          <w:trHeight w:val="288"/>
        </w:trPr>
        <w:tc>
          <w:tcPr>
            <w:tcW w:w="767" w:type="dxa"/>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9</w:t>
            </w:r>
          </w:p>
        </w:tc>
        <w:tc>
          <w:tcPr>
            <w:tcW w:w="549" w:type="dxa"/>
            <w:tcBorders>
              <w:right w:val="nil"/>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33°</w:t>
            </w:r>
          </w:p>
        </w:tc>
        <w:tc>
          <w:tcPr>
            <w:tcW w:w="1086" w:type="dxa"/>
            <w:tcBorders>
              <w:left w:val="nil"/>
            </w:tcBorders>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43’</w:t>
            </w:r>
          </w:p>
        </w:tc>
        <w:tc>
          <w:tcPr>
            <w:tcW w:w="2386" w:type="dxa"/>
            <w:tcBorders>
              <w:right w:val="single" w:sz="4" w:space="0" w:color="auto"/>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77° 30’</w:t>
            </w:r>
          </w:p>
        </w:tc>
        <w:tc>
          <w:tcPr>
            <w:tcW w:w="990" w:type="dxa"/>
            <w:tcBorders>
              <w:right w:val="single" w:sz="4" w:space="0" w:color="auto"/>
            </w:tcBorders>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23</w:t>
            </w:r>
          </w:p>
        </w:tc>
        <w:tc>
          <w:tcPr>
            <w:tcW w:w="1536"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30° 13’</w:t>
            </w:r>
          </w:p>
        </w:tc>
        <w:tc>
          <w:tcPr>
            <w:tcW w:w="2334"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81° 01’</w:t>
            </w:r>
          </w:p>
        </w:tc>
      </w:tr>
      <w:tr w:rsidR="00764BD6" w:rsidRPr="00764BD6" w:rsidTr="00764BD6">
        <w:trPr>
          <w:trHeight w:val="288"/>
        </w:trPr>
        <w:tc>
          <w:tcPr>
            <w:tcW w:w="767" w:type="dxa"/>
            <w:shd w:val="clear" w:color="auto" w:fill="F2F2F2" w:themeFill="background1" w:themeFillShade="F2"/>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10</w:t>
            </w:r>
          </w:p>
        </w:tc>
        <w:tc>
          <w:tcPr>
            <w:tcW w:w="549" w:type="dxa"/>
            <w:tcBorders>
              <w:right w:val="nil"/>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33°</w:t>
            </w:r>
          </w:p>
        </w:tc>
        <w:tc>
          <w:tcPr>
            <w:tcW w:w="1086" w:type="dxa"/>
            <w:tcBorders>
              <w:left w:val="nil"/>
            </w:tcBorders>
            <w:shd w:val="clear" w:color="auto" w:fill="F2F2F2" w:themeFill="background1" w:themeFillShade="F2"/>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21’</w:t>
            </w:r>
          </w:p>
        </w:tc>
        <w:tc>
          <w:tcPr>
            <w:tcW w:w="238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77° 21’</w:t>
            </w:r>
          </w:p>
        </w:tc>
        <w:tc>
          <w:tcPr>
            <w:tcW w:w="990" w:type="dxa"/>
            <w:tcBorders>
              <w:right w:val="single" w:sz="4" w:space="0" w:color="auto"/>
            </w:tcBorders>
            <w:shd w:val="clear" w:color="auto" w:fill="F2F2F2" w:themeFill="background1" w:themeFillShade="F2"/>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24</w:t>
            </w:r>
          </w:p>
        </w:tc>
        <w:tc>
          <w:tcPr>
            <w:tcW w:w="153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29° 32’</w:t>
            </w:r>
          </w:p>
        </w:tc>
        <w:tc>
          <w:tcPr>
            <w:tcW w:w="2334"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80° 39’</w:t>
            </w:r>
          </w:p>
        </w:tc>
      </w:tr>
      <w:tr w:rsidR="00764BD6" w:rsidRPr="00764BD6" w:rsidTr="00764BD6">
        <w:trPr>
          <w:trHeight w:val="288"/>
        </w:trPr>
        <w:tc>
          <w:tcPr>
            <w:tcW w:w="767" w:type="dxa"/>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11</w:t>
            </w:r>
          </w:p>
        </w:tc>
        <w:tc>
          <w:tcPr>
            <w:tcW w:w="549" w:type="dxa"/>
            <w:tcBorders>
              <w:right w:val="nil"/>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33°</w:t>
            </w:r>
          </w:p>
        </w:tc>
        <w:tc>
          <w:tcPr>
            <w:tcW w:w="1086" w:type="dxa"/>
            <w:tcBorders>
              <w:left w:val="nil"/>
            </w:tcBorders>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18’</w:t>
            </w:r>
          </w:p>
        </w:tc>
        <w:tc>
          <w:tcPr>
            <w:tcW w:w="2386" w:type="dxa"/>
            <w:tcBorders>
              <w:right w:val="single" w:sz="4" w:space="0" w:color="auto"/>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77° 41’</w:t>
            </w:r>
          </w:p>
        </w:tc>
        <w:tc>
          <w:tcPr>
            <w:tcW w:w="990" w:type="dxa"/>
            <w:tcBorders>
              <w:right w:val="single" w:sz="4" w:space="0" w:color="auto"/>
            </w:tcBorders>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25</w:t>
            </w:r>
          </w:p>
        </w:tc>
        <w:tc>
          <w:tcPr>
            <w:tcW w:w="1536"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29° 22’</w:t>
            </w:r>
          </w:p>
        </w:tc>
        <w:tc>
          <w:tcPr>
            <w:tcW w:w="2334"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80° 44’</w:t>
            </w:r>
          </w:p>
        </w:tc>
      </w:tr>
      <w:tr w:rsidR="00764BD6" w:rsidRPr="00764BD6" w:rsidTr="00764BD6">
        <w:trPr>
          <w:trHeight w:val="288"/>
        </w:trPr>
        <w:tc>
          <w:tcPr>
            <w:tcW w:w="767" w:type="dxa"/>
            <w:shd w:val="clear" w:color="auto" w:fill="F2F2F2" w:themeFill="background1" w:themeFillShade="F2"/>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12</w:t>
            </w:r>
          </w:p>
        </w:tc>
        <w:tc>
          <w:tcPr>
            <w:tcW w:w="549" w:type="dxa"/>
            <w:tcBorders>
              <w:right w:val="nil"/>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33°</w:t>
            </w:r>
          </w:p>
        </w:tc>
        <w:tc>
          <w:tcPr>
            <w:tcW w:w="1086" w:type="dxa"/>
            <w:tcBorders>
              <w:left w:val="nil"/>
            </w:tcBorders>
            <w:shd w:val="clear" w:color="auto" w:fill="F2F2F2" w:themeFill="background1" w:themeFillShade="F2"/>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22’</w:t>
            </w:r>
          </w:p>
        </w:tc>
        <w:tc>
          <w:tcPr>
            <w:tcW w:w="238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77° 56’</w:t>
            </w:r>
          </w:p>
        </w:tc>
        <w:tc>
          <w:tcPr>
            <w:tcW w:w="990" w:type="dxa"/>
            <w:tcBorders>
              <w:right w:val="single" w:sz="4" w:space="0" w:color="auto"/>
            </w:tcBorders>
            <w:shd w:val="clear" w:color="auto" w:fill="F2F2F2" w:themeFill="background1" w:themeFillShade="F2"/>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26</w:t>
            </w:r>
          </w:p>
        </w:tc>
        <w:tc>
          <w:tcPr>
            <w:tcW w:w="153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28° 50’</w:t>
            </w:r>
          </w:p>
        </w:tc>
        <w:tc>
          <w:tcPr>
            <w:tcW w:w="2334"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80° 22’</w:t>
            </w:r>
          </w:p>
        </w:tc>
      </w:tr>
      <w:tr w:rsidR="00764BD6" w:rsidRPr="00764BD6" w:rsidTr="00764BD6">
        <w:trPr>
          <w:trHeight w:val="288"/>
        </w:trPr>
        <w:tc>
          <w:tcPr>
            <w:tcW w:w="767" w:type="dxa"/>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13</w:t>
            </w:r>
          </w:p>
        </w:tc>
        <w:tc>
          <w:tcPr>
            <w:tcW w:w="549" w:type="dxa"/>
            <w:tcBorders>
              <w:right w:val="nil"/>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33°</w:t>
            </w:r>
          </w:p>
        </w:tc>
        <w:tc>
          <w:tcPr>
            <w:tcW w:w="1086" w:type="dxa"/>
            <w:tcBorders>
              <w:left w:val="nil"/>
            </w:tcBorders>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12’</w:t>
            </w:r>
          </w:p>
        </w:tc>
        <w:tc>
          <w:tcPr>
            <w:tcW w:w="2386" w:type="dxa"/>
            <w:tcBorders>
              <w:right w:val="single" w:sz="4" w:space="0" w:color="auto"/>
            </w:tcBorders>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78° 20’</w:t>
            </w:r>
          </w:p>
        </w:tc>
        <w:tc>
          <w:tcPr>
            <w:tcW w:w="990" w:type="dxa"/>
            <w:tcBorders>
              <w:right w:val="single" w:sz="4" w:space="0" w:color="auto"/>
            </w:tcBorders>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27</w:t>
            </w:r>
          </w:p>
        </w:tc>
        <w:tc>
          <w:tcPr>
            <w:tcW w:w="1536"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28° 21’</w:t>
            </w:r>
          </w:p>
        </w:tc>
        <w:tc>
          <w:tcPr>
            <w:tcW w:w="2334" w:type="dxa"/>
            <w:tcBorders>
              <w:right w:val="single" w:sz="4" w:space="0" w:color="auto"/>
            </w:tcBorders>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80° 18’</w:t>
            </w:r>
          </w:p>
        </w:tc>
      </w:tr>
      <w:tr w:rsidR="00764BD6" w:rsidRPr="00764BD6" w:rsidTr="00764BD6">
        <w:trPr>
          <w:trHeight w:val="288"/>
        </w:trPr>
        <w:tc>
          <w:tcPr>
            <w:tcW w:w="767" w:type="dxa"/>
            <w:shd w:val="clear" w:color="auto" w:fill="F2F2F2" w:themeFill="background1" w:themeFillShade="F2"/>
            <w:vAlign w:val="center"/>
          </w:tcPr>
          <w:p w:rsidR="00764BD6" w:rsidRPr="00764BD6" w:rsidRDefault="00764BD6" w:rsidP="00764BD6">
            <w:pPr>
              <w:jc w:val="center"/>
              <w:rPr>
                <w:rFonts w:ascii="Arial" w:hAnsi="Arial" w:cs="Arial"/>
                <w:highlight w:val="yellow"/>
              </w:rPr>
            </w:pPr>
            <w:r w:rsidRPr="00764BD6">
              <w:rPr>
                <w:rFonts w:ascii="Arial" w:hAnsi="Arial" w:cs="Arial"/>
                <w:sz w:val="22"/>
                <w:highlight w:val="yellow"/>
              </w:rPr>
              <w:t>14</w:t>
            </w:r>
          </w:p>
        </w:tc>
        <w:tc>
          <w:tcPr>
            <w:tcW w:w="549" w:type="dxa"/>
            <w:tcBorders>
              <w:right w:val="nil"/>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33°</w:t>
            </w:r>
          </w:p>
        </w:tc>
        <w:tc>
          <w:tcPr>
            <w:tcW w:w="1086" w:type="dxa"/>
            <w:tcBorders>
              <w:left w:val="nil"/>
            </w:tcBorders>
            <w:shd w:val="clear" w:color="auto" w:fill="F2F2F2" w:themeFill="background1" w:themeFillShade="F2"/>
            <w:vAlign w:val="bottom"/>
          </w:tcPr>
          <w:p w:rsidR="00764BD6" w:rsidRPr="00764BD6" w:rsidRDefault="00764BD6" w:rsidP="00764BD6">
            <w:pPr>
              <w:ind w:right="576"/>
              <w:jc w:val="center"/>
              <w:rPr>
                <w:rFonts w:ascii="Arial" w:hAnsi="Arial" w:cs="Arial"/>
                <w:highlight w:val="yellow"/>
              </w:rPr>
            </w:pPr>
            <w:r w:rsidRPr="00764BD6">
              <w:rPr>
                <w:rFonts w:ascii="Arial" w:hAnsi="Arial" w:cs="Arial"/>
                <w:color w:val="000000"/>
                <w:sz w:val="22"/>
                <w:highlight w:val="yellow"/>
              </w:rPr>
              <w:t>05’</w:t>
            </w:r>
          </w:p>
        </w:tc>
        <w:tc>
          <w:tcPr>
            <w:tcW w:w="238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highlight w:val="yellow"/>
              </w:rPr>
            </w:pPr>
            <w:r w:rsidRPr="00764BD6">
              <w:rPr>
                <w:rFonts w:ascii="Arial" w:hAnsi="Arial" w:cs="Arial"/>
                <w:color w:val="000000"/>
                <w:sz w:val="22"/>
                <w:highlight w:val="yellow"/>
              </w:rPr>
              <w:t>78° 22’</w:t>
            </w:r>
          </w:p>
        </w:tc>
        <w:tc>
          <w:tcPr>
            <w:tcW w:w="990" w:type="dxa"/>
            <w:tcBorders>
              <w:right w:val="single" w:sz="4" w:space="0" w:color="auto"/>
            </w:tcBorders>
            <w:shd w:val="clear" w:color="auto" w:fill="F2F2F2" w:themeFill="background1" w:themeFillShade="F2"/>
            <w:vAlign w:val="center"/>
          </w:tcPr>
          <w:p w:rsidR="00764BD6" w:rsidRPr="00764BD6" w:rsidRDefault="00764BD6" w:rsidP="00764BD6">
            <w:pPr>
              <w:jc w:val="center"/>
              <w:rPr>
                <w:rFonts w:ascii="Arial" w:hAnsi="Arial" w:cs="Arial"/>
                <w:color w:val="000000"/>
                <w:highlight w:val="yellow"/>
              </w:rPr>
            </w:pPr>
            <w:r w:rsidRPr="00764BD6">
              <w:rPr>
                <w:rFonts w:ascii="Arial" w:hAnsi="Arial" w:cs="Arial"/>
                <w:sz w:val="22"/>
                <w:highlight w:val="yellow"/>
              </w:rPr>
              <w:t>28</w:t>
            </w:r>
          </w:p>
        </w:tc>
        <w:tc>
          <w:tcPr>
            <w:tcW w:w="1536"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28° 21’</w:t>
            </w:r>
          </w:p>
        </w:tc>
        <w:tc>
          <w:tcPr>
            <w:tcW w:w="2334" w:type="dxa"/>
            <w:tcBorders>
              <w:right w:val="single" w:sz="4" w:space="0" w:color="auto"/>
            </w:tcBorders>
            <w:shd w:val="clear" w:color="auto" w:fill="F2F2F2" w:themeFill="background1" w:themeFillShade="F2"/>
            <w:vAlign w:val="bottom"/>
          </w:tcPr>
          <w:p w:rsidR="00764BD6" w:rsidRPr="00764BD6" w:rsidRDefault="00764BD6" w:rsidP="00764BD6">
            <w:pPr>
              <w:jc w:val="center"/>
              <w:rPr>
                <w:rFonts w:ascii="Arial" w:hAnsi="Arial" w:cs="Arial"/>
                <w:color w:val="000000"/>
                <w:highlight w:val="yellow"/>
              </w:rPr>
            </w:pPr>
            <w:r w:rsidRPr="00764BD6">
              <w:rPr>
                <w:rFonts w:ascii="Arial" w:hAnsi="Arial" w:cs="Arial"/>
                <w:color w:val="000000"/>
                <w:sz w:val="22"/>
                <w:highlight w:val="yellow"/>
              </w:rPr>
              <w:t>State/EEZ boundary</w:t>
            </w:r>
          </w:p>
        </w:tc>
      </w:tr>
    </w:tbl>
    <w:p w:rsidR="00764BD6" w:rsidRPr="00764BD6" w:rsidRDefault="00764BD6" w:rsidP="00764BD6">
      <w:pPr>
        <w:rPr>
          <w:sz w:val="20"/>
          <w:szCs w:val="20"/>
          <w:highlight w:val="yellow"/>
        </w:rPr>
      </w:pPr>
      <w:r w:rsidRPr="00764BD6">
        <w:rPr>
          <w:iCs/>
          <w:sz w:val="20"/>
          <w:szCs w:val="20"/>
          <w:highlight w:val="yellow"/>
        </w:rPr>
        <w:t>Source: Amanda Frick, NMFS SERO</w:t>
      </w:r>
    </w:p>
    <w:p w:rsidR="00764BD6" w:rsidRPr="00764BD6" w:rsidRDefault="00764BD6" w:rsidP="00764BD6">
      <w:pPr>
        <w:rPr>
          <w:b/>
          <w:highlight w:val="yellow"/>
        </w:rPr>
      </w:pPr>
      <w:r w:rsidRPr="00764BD6">
        <w:rPr>
          <w:b/>
          <w:noProof/>
          <w:highlight w:val="yellow"/>
        </w:rPr>
        <w:lastRenderedPageBreak/>
        <w:drawing>
          <wp:inline distT="0" distB="0" distL="0" distR="0">
            <wp:extent cx="5943600" cy="7363998"/>
            <wp:effectExtent l="0" t="0" r="0" b="25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7363998"/>
                    </a:xfrm>
                    <a:prstGeom prst="rect">
                      <a:avLst/>
                    </a:prstGeom>
                    <a:noFill/>
                    <a:ln>
                      <a:noFill/>
                    </a:ln>
                  </pic:spPr>
                </pic:pic>
              </a:graphicData>
            </a:graphic>
          </wp:inline>
        </w:drawing>
      </w:r>
    </w:p>
    <w:p w:rsidR="00764BD6" w:rsidRPr="00764BD6" w:rsidRDefault="00764BD6" w:rsidP="00764BD6">
      <w:pPr>
        <w:pStyle w:val="Figuretitle"/>
        <w:rPr>
          <w:rFonts w:ascii="Arial" w:hAnsi="Arial" w:cs="Arial"/>
          <w:sz w:val="20"/>
          <w:szCs w:val="20"/>
          <w:highlight w:val="yellow"/>
        </w:rPr>
      </w:pPr>
      <w:proofErr w:type="gramStart"/>
      <w:r w:rsidRPr="00764BD6">
        <w:rPr>
          <w:rStyle w:val="FiguretitleChar1"/>
          <w:rFonts w:ascii="Arial" w:eastAsia="Courier New" w:hAnsi="Arial" w:cs="Arial"/>
          <w:b/>
          <w:sz w:val="20"/>
          <w:szCs w:val="20"/>
          <w:highlight w:val="yellow"/>
        </w:rPr>
        <w:t>Figure 2.1.1</w:t>
      </w:r>
      <w:r w:rsidR="0033281C">
        <w:rPr>
          <w:rStyle w:val="FiguretitleChar1"/>
          <w:rFonts w:ascii="Arial" w:eastAsia="Courier New" w:hAnsi="Arial" w:cs="Arial"/>
          <w:b/>
          <w:sz w:val="20"/>
          <w:szCs w:val="20"/>
          <w:highlight w:val="yellow"/>
        </w:rPr>
        <w:t>2</w:t>
      </w:r>
      <w:r w:rsidRPr="00764BD6">
        <w:rPr>
          <w:rStyle w:val="FiguretitleChar1"/>
          <w:rFonts w:ascii="Arial" w:eastAsia="Courier New" w:hAnsi="Arial" w:cs="Arial"/>
          <w:b/>
          <w:sz w:val="20"/>
          <w:szCs w:val="20"/>
          <w:highlight w:val="yellow"/>
        </w:rPr>
        <w:t>.</w:t>
      </w:r>
      <w:proofErr w:type="gramEnd"/>
      <w:r w:rsidRPr="00764BD6">
        <w:rPr>
          <w:rStyle w:val="FiguretitleChar1"/>
          <w:rFonts w:ascii="Arial" w:eastAsia="Courier New" w:hAnsi="Arial" w:cs="Arial"/>
          <w:sz w:val="20"/>
          <w:szCs w:val="20"/>
          <w:highlight w:val="yellow"/>
        </w:rPr>
        <w:t xml:space="preserve">  </w:t>
      </w:r>
      <w:proofErr w:type="gramStart"/>
      <w:r w:rsidRPr="00764BD6">
        <w:rPr>
          <w:rStyle w:val="FiguretitleChar1"/>
          <w:rFonts w:ascii="Arial" w:eastAsia="Courier New" w:hAnsi="Arial" w:cs="Arial"/>
          <w:sz w:val="20"/>
          <w:szCs w:val="20"/>
          <w:highlight w:val="yellow"/>
        </w:rPr>
        <w:t>Area for the proposed black sea bass pot closure</w:t>
      </w:r>
      <w:r w:rsidR="000242E5" w:rsidRPr="00764BD6">
        <w:rPr>
          <w:rStyle w:val="FiguretitleChar1"/>
          <w:rFonts w:ascii="Arial" w:eastAsia="Courier New" w:hAnsi="Arial" w:cs="Arial"/>
          <w:sz w:val="20"/>
          <w:szCs w:val="20"/>
          <w:highlight w:val="yellow"/>
        </w:rPr>
        <w:fldChar w:fldCharType="begin"/>
      </w:r>
      <w:r w:rsidRPr="00764BD6">
        <w:rPr>
          <w:rFonts w:ascii="Arial" w:hAnsi="Arial" w:cs="Arial"/>
          <w:sz w:val="20"/>
          <w:szCs w:val="20"/>
          <w:highlight w:val="yellow"/>
        </w:rPr>
        <w:instrText xml:space="preserve"> XE "</w:instrText>
      </w:r>
      <w:r w:rsidRPr="00764BD6">
        <w:rPr>
          <w:rStyle w:val="FiguretitleChar1"/>
          <w:rFonts w:ascii="Arial" w:eastAsiaTheme="minorHAnsi" w:hAnsi="Arial" w:cs="Arial"/>
          <w:sz w:val="20"/>
          <w:szCs w:val="20"/>
          <w:highlight w:val="yellow"/>
        </w:rPr>
        <w:instrText>black sea bass pot closure</w:instrText>
      </w:r>
      <w:r w:rsidRPr="00764BD6">
        <w:rPr>
          <w:rFonts w:ascii="Arial" w:hAnsi="Arial" w:cs="Arial"/>
          <w:sz w:val="20"/>
          <w:szCs w:val="20"/>
          <w:highlight w:val="yellow"/>
        </w:rPr>
        <w:instrText xml:space="preserve">" </w:instrText>
      </w:r>
      <w:r w:rsidR="000242E5" w:rsidRPr="00764BD6">
        <w:rPr>
          <w:rStyle w:val="FiguretitleChar1"/>
          <w:rFonts w:ascii="Arial" w:eastAsia="Courier New" w:hAnsi="Arial" w:cs="Arial"/>
          <w:sz w:val="20"/>
          <w:szCs w:val="20"/>
          <w:highlight w:val="yellow"/>
        </w:rPr>
        <w:fldChar w:fldCharType="end"/>
      </w:r>
      <w:r w:rsidRPr="00764BD6">
        <w:rPr>
          <w:rStyle w:val="FiguretitleChar1"/>
          <w:rFonts w:ascii="Arial" w:eastAsia="Courier New" w:hAnsi="Arial" w:cs="Arial"/>
          <w:sz w:val="20"/>
          <w:szCs w:val="20"/>
          <w:highlight w:val="yellow"/>
        </w:rPr>
        <w:t xml:space="preserve"> in </w:t>
      </w:r>
      <w:r w:rsidRPr="00D073BA">
        <w:rPr>
          <w:rStyle w:val="FiguretitleChar1"/>
          <w:rFonts w:ascii="Arial" w:eastAsia="Courier New" w:hAnsi="Arial" w:cs="Arial"/>
          <w:b/>
          <w:sz w:val="20"/>
          <w:szCs w:val="20"/>
          <w:highlight w:val="yellow"/>
        </w:rPr>
        <w:t>Preferred</w:t>
      </w:r>
      <w:r w:rsidRPr="00764BD6">
        <w:rPr>
          <w:rStyle w:val="FiguretitleChar1"/>
          <w:rFonts w:ascii="Arial" w:eastAsia="Courier New" w:hAnsi="Arial" w:cs="Arial"/>
          <w:sz w:val="20"/>
          <w:szCs w:val="20"/>
          <w:highlight w:val="yellow"/>
        </w:rPr>
        <w:t xml:space="preserve"> </w:t>
      </w:r>
      <w:r w:rsidRPr="00764BD6">
        <w:rPr>
          <w:rStyle w:val="FiguretitleChar1"/>
          <w:rFonts w:ascii="Arial" w:eastAsia="Courier New" w:hAnsi="Arial" w:cs="Arial"/>
          <w:b/>
          <w:sz w:val="20"/>
          <w:szCs w:val="20"/>
          <w:highlight w:val="yellow"/>
        </w:rPr>
        <w:t>Alternative 1</w:t>
      </w:r>
      <w:r w:rsidR="0033281C">
        <w:rPr>
          <w:rStyle w:val="FiguretitleChar1"/>
          <w:rFonts w:ascii="Arial" w:eastAsia="Courier New" w:hAnsi="Arial" w:cs="Arial"/>
          <w:b/>
          <w:sz w:val="20"/>
          <w:szCs w:val="20"/>
          <w:highlight w:val="yellow"/>
        </w:rPr>
        <w:t>1</w:t>
      </w:r>
      <w:r w:rsidRPr="00764BD6">
        <w:rPr>
          <w:rStyle w:val="FiguretitleChar1"/>
          <w:rFonts w:ascii="Arial" w:eastAsia="Courier New" w:hAnsi="Arial" w:cs="Arial"/>
          <w:sz w:val="20"/>
          <w:szCs w:val="20"/>
          <w:highlight w:val="yellow"/>
        </w:rPr>
        <w:t xml:space="preserve"> from November 1 through November 30 and April 1 through April 30.</w:t>
      </w:r>
      <w:proofErr w:type="gramEnd"/>
    </w:p>
    <w:p w:rsidR="00764BD6" w:rsidRPr="00764BD6" w:rsidRDefault="00764BD6" w:rsidP="00764BD6">
      <w:pPr>
        <w:rPr>
          <w:iCs/>
          <w:sz w:val="20"/>
          <w:szCs w:val="20"/>
          <w:highlight w:val="yellow"/>
        </w:rPr>
      </w:pPr>
      <w:r w:rsidRPr="00764BD6">
        <w:rPr>
          <w:iCs/>
          <w:sz w:val="20"/>
          <w:szCs w:val="20"/>
          <w:highlight w:val="yellow"/>
        </w:rPr>
        <w:t>Source: Amanda Frick, NMFS SERO</w:t>
      </w:r>
    </w:p>
    <w:p w:rsidR="00764BD6" w:rsidRPr="00764BD6" w:rsidRDefault="00764BD6" w:rsidP="00764BD6">
      <w:pPr>
        <w:rPr>
          <w:b/>
          <w:highlight w:val="yellow"/>
        </w:rPr>
      </w:pPr>
    </w:p>
    <w:p w:rsidR="00764BD6" w:rsidRPr="00764BD6" w:rsidRDefault="00764BD6" w:rsidP="00764BD6">
      <w:pPr>
        <w:rPr>
          <w:b/>
          <w:highlight w:val="yellow"/>
        </w:rPr>
      </w:pPr>
    </w:p>
    <w:p w:rsidR="00764BD6" w:rsidRPr="00764BD6" w:rsidRDefault="00764BD6" w:rsidP="00764BD6">
      <w:pPr>
        <w:rPr>
          <w:highlight w:val="yellow"/>
        </w:rPr>
      </w:pPr>
      <w:proofErr w:type="gramStart"/>
      <w:r w:rsidRPr="00764BD6">
        <w:rPr>
          <w:b/>
          <w:highlight w:val="yellow"/>
        </w:rPr>
        <w:lastRenderedPageBreak/>
        <w:t>Alternative 12</w:t>
      </w:r>
      <w:r w:rsidRPr="00764BD6">
        <w:rPr>
          <w:highlight w:val="yellow"/>
        </w:rPr>
        <w:t>.</w:t>
      </w:r>
      <w:proofErr w:type="gramEnd"/>
      <w:r w:rsidRPr="00764BD6">
        <w:rPr>
          <w:highlight w:val="yellow"/>
        </w:rPr>
        <w:t xml:space="preserve"> From November 1 through April 30, the black sea bass pot closure</w:t>
      </w:r>
      <w:r w:rsidR="000242E5" w:rsidRPr="00764BD6">
        <w:rPr>
          <w:highlight w:val="yellow"/>
        </w:rPr>
        <w:fldChar w:fldCharType="begin"/>
      </w:r>
      <w:r w:rsidRPr="00764BD6">
        <w:rPr>
          <w:highlight w:val="yellow"/>
        </w:rPr>
        <w:instrText xml:space="preserve"> XE "</w:instrText>
      </w:r>
      <w:r w:rsidRPr="00764BD6">
        <w:rPr>
          <w:rStyle w:val="FiguretitleChar1"/>
          <w:rFonts w:eastAsiaTheme="minorHAnsi"/>
          <w:highlight w:val="yellow"/>
        </w:rPr>
        <w:instrText>black sea bass pot closure</w:instrText>
      </w:r>
      <w:r w:rsidRPr="00764BD6">
        <w:rPr>
          <w:highlight w:val="yellow"/>
        </w:rPr>
        <w:instrText xml:space="preserve">" </w:instrText>
      </w:r>
      <w:r w:rsidR="000242E5" w:rsidRPr="00764BD6">
        <w:rPr>
          <w:highlight w:val="yellow"/>
        </w:rPr>
        <w:fldChar w:fldCharType="end"/>
      </w:r>
      <w:r w:rsidRPr="00764BD6">
        <w:rPr>
          <w:highlight w:val="yellow"/>
        </w:rPr>
        <w:t xml:space="preserve"> applies to waters inshore of points 1-31 listed below </w:t>
      </w:r>
      <w:r w:rsidRPr="00764BD6">
        <w:rPr>
          <w:b/>
          <w:highlight w:val="yellow"/>
        </w:rPr>
        <w:t>(Table 2.1.12)</w:t>
      </w:r>
      <w:r w:rsidRPr="00764BD6">
        <w:rPr>
          <w:highlight w:val="yellow"/>
        </w:rPr>
        <w:t xml:space="preserve">; approximately Cape Canaveral, Florida, to Cape Hatteras, North Carolina </w:t>
      </w:r>
      <w:r w:rsidRPr="00764BD6">
        <w:rPr>
          <w:b/>
          <w:highlight w:val="yellow"/>
        </w:rPr>
        <w:t>(Figure 2.1.1</w:t>
      </w:r>
      <w:r w:rsidR="00F71F9E">
        <w:rPr>
          <w:b/>
          <w:highlight w:val="yellow"/>
        </w:rPr>
        <w:t>3</w:t>
      </w:r>
      <w:r w:rsidRPr="00764BD6">
        <w:rPr>
          <w:b/>
          <w:highlight w:val="yellow"/>
        </w:rPr>
        <w:t>)</w:t>
      </w:r>
      <w:r w:rsidRPr="00764BD6">
        <w:rPr>
          <w:highlight w:val="yellow"/>
        </w:rPr>
        <w:t>.</w:t>
      </w:r>
    </w:p>
    <w:p w:rsidR="00764BD6" w:rsidRPr="00764BD6" w:rsidRDefault="00764BD6" w:rsidP="00764BD6">
      <w:pPr>
        <w:rPr>
          <w:highlight w:val="yellow"/>
        </w:rPr>
      </w:pPr>
    </w:p>
    <w:p w:rsidR="00764BD6" w:rsidRPr="00764BD6" w:rsidRDefault="00764BD6" w:rsidP="00764BD6">
      <w:pPr>
        <w:autoSpaceDE w:val="0"/>
        <w:autoSpaceDN w:val="0"/>
        <w:adjustRightInd w:val="0"/>
        <w:rPr>
          <w:iCs/>
          <w:highlight w:val="yellow"/>
        </w:rPr>
      </w:pPr>
      <w:r w:rsidRPr="00764BD6">
        <w:rPr>
          <w:iCs/>
          <w:highlight w:val="yellow"/>
        </w:rPr>
        <w:t xml:space="preserve">This closure approximates the midpoints between proposed closure </w:t>
      </w:r>
      <w:r w:rsidRPr="00764BD6">
        <w:rPr>
          <w:b/>
          <w:iCs/>
          <w:highlight w:val="yellow"/>
        </w:rPr>
        <w:t>Alternative 4</w:t>
      </w:r>
      <w:r w:rsidRPr="00764BD6">
        <w:rPr>
          <w:iCs/>
          <w:highlight w:val="yellow"/>
        </w:rPr>
        <w:t xml:space="preserve"> and </w:t>
      </w:r>
      <w:r w:rsidRPr="00764BD6">
        <w:rPr>
          <w:b/>
          <w:iCs/>
          <w:highlight w:val="yellow"/>
        </w:rPr>
        <w:t>Sub-Alternative</w:t>
      </w:r>
      <w:r w:rsidRPr="00764BD6">
        <w:rPr>
          <w:iCs/>
          <w:highlight w:val="yellow"/>
        </w:rPr>
        <w:t xml:space="preserve"> </w:t>
      </w:r>
      <w:r w:rsidRPr="00764BD6">
        <w:rPr>
          <w:b/>
          <w:iCs/>
          <w:highlight w:val="yellow"/>
        </w:rPr>
        <w:t>8a</w:t>
      </w:r>
      <w:r w:rsidRPr="00764BD6">
        <w:rPr>
          <w:iCs/>
          <w:highlight w:val="yellow"/>
        </w:rPr>
        <w:t xml:space="preserve">.  </w:t>
      </w:r>
    </w:p>
    <w:p w:rsidR="00764BD6" w:rsidRPr="00764BD6" w:rsidRDefault="00764BD6" w:rsidP="00764BD6">
      <w:pPr>
        <w:rPr>
          <w:iCs/>
          <w:highlight w:val="yellow"/>
        </w:rPr>
      </w:pPr>
    </w:p>
    <w:p w:rsidR="00764BD6" w:rsidRPr="00764BD6" w:rsidRDefault="00764BD6" w:rsidP="00764BD6">
      <w:pPr>
        <w:rPr>
          <w:iCs/>
          <w:highlight w:val="yellow"/>
        </w:rPr>
      </w:pPr>
      <w:r w:rsidRPr="00764BD6">
        <w:rPr>
          <w:iCs/>
          <w:highlight w:val="yellow"/>
        </w:rPr>
        <w:t>Note: Federal regulations would only apply to that portion of the area within the South Atlantic EEZ</w:t>
      </w:r>
      <w:r w:rsidR="000242E5" w:rsidRPr="00764BD6">
        <w:rPr>
          <w:iCs/>
          <w:highlight w:val="yellow"/>
        </w:rPr>
        <w:fldChar w:fldCharType="begin"/>
      </w:r>
      <w:r w:rsidRPr="00764BD6">
        <w:rPr>
          <w:highlight w:val="yellow"/>
        </w:rPr>
        <w:instrText xml:space="preserve"> XE "South Atlantic EEZ" </w:instrText>
      </w:r>
      <w:r w:rsidR="000242E5" w:rsidRPr="00764BD6">
        <w:rPr>
          <w:iCs/>
          <w:highlight w:val="yellow"/>
        </w:rPr>
        <w:fldChar w:fldCharType="end"/>
      </w:r>
      <w:r w:rsidRPr="00764BD6">
        <w:rPr>
          <w:iCs/>
          <w:highlight w:val="yellow"/>
        </w:rPr>
        <w:t>.  The states will be asked to implement compatible regulations within state waters.</w:t>
      </w:r>
    </w:p>
    <w:p w:rsidR="00764BD6" w:rsidRPr="00764BD6" w:rsidRDefault="00764BD6" w:rsidP="00764BD6">
      <w:pPr>
        <w:rPr>
          <w:highlight w:val="yellow"/>
        </w:rPr>
      </w:pPr>
    </w:p>
    <w:p w:rsidR="00764BD6" w:rsidRPr="00764BD6" w:rsidRDefault="00764BD6" w:rsidP="00764BD6">
      <w:pPr>
        <w:pStyle w:val="Tabletitle"/>
        <w:rPr>
          <w:highlight w:val="yellow"/>
        </w:rPr>
      </w:pPr>
      <w:bookmarkStart w:id="19" w:name="_Toc432070202"/>
      <w:proofErr w:type="gramStart"/>
      <w:r w:rsidRPr="00764BD6">
        <w:rPr>
          <w:highlight w:val="yellow"/>
        </w:rPr>
        <w:t>Table 2.1.12.</w:t>
      </w:r>
      <w:proofErr w:type="gramEnd"/>
      <w:r w:rsidRPr="00764BD6">
        <w:rPr>
          <w:highlight w:val="yellow"/>
        </w:rPr>
        <w:t xml:space="preserve"> </w:t>
      </w:r>
      <w:r w:rsidRPr="00764BD6">
        <w:rPr>
          <w:b w:val="0"/>
          <w:highlight w:val="yellow"/>
        </w:rPr>
        <w:t>Eastern boundary coordinates for the proposed black sea bass pot closure</w:t>
      </w:r>
      <w:r w:rsidR="000242E5" w:rsidRPr="00764BD6">
        <w:rPr>
          <w:b w:val="0"/>
          <w:highlight w:val="yellow"/>
        </w:rPr>
        <w:fldChar w:fldCharType="begin"/>
      </w:r>
      <w:r w:rsidRPr="00764BD6">
        <w:rPr>
          <w:highlight w:val="yellow"/>
        </w:rPr>
        <w:instrText xml:space="preserve"> XE "</w:instrText>
      </w:r>
      <w:r w:rsidRPr="00764BD6">
        <w:rPr>
          <w:rStyle w:val="FiguretitleChar1"/>
          <w:rFonts w:eastAsiaTheme="minorHAnsi"/>
          <w:highlight w:val="yellow"/>
        </w:rPr>
        <w:instrText>black sea bass pot closure</w:instrText>
      </w:r>
      <w:r w:rsidRPr="00764BD6">
        <w:rPr>
          <w:highlight w:val="yellow"/>
        </w:rPr>
        <w:instrText xml:space="preserve">" </w:instrText>
      </w:r>
      <w:r w:rsidR="000242E5" w:rsidRPr="00764BD6">
        <w:rPr>
          <w:b w:val="0"/>
          <w:highlight w:val="yellow"/>
        </w:rPr>
        <w:fldChar w:fldCharType="end"/>
      </w:r>
      <w:r w:rsidRPr="00764BD6">
        <w:rPr>
          <w:b w:val="0"/>
          <w:highlight w:val="yellow"/>
        </w:rPr>
        <w:t xml:space="preserve"> in </w:t>
      </w:r>
      <w:r w:rsidRPr="00764BD6">
        <w:rPr>
          <w:highlight w:val="yellow"/>
        </w:rPr>
        <w:t>Alternative 12</w:t>
      </w:r>
      <w:r w:rsidRPr="00764BD6">
        <w:rPr>
          <w:b w:val="0"/>
          <w:highlight w:val="yellow"/>
        </w:rPr>
        <w:t xml:space="preserve"> for November 1 through April 30.</w:t>
      </w:r>
      <w:bookmarkEnd w:id="19"/>
      <w:r w:rsidRPr="00764BD6">
        <w:rPr>
          <w:highlight w:val="yellow"/>
        </w:rPr>
        <w:t xml:space="preserve">  </w:t>
      </w:r>
    </w:p>
    <w:tbl>
      <w:tblPr>
        <w:tblStyle w:val="TableGrid"/>
        <w:tblW w:w="0" w:type="auto"/>
        <w:tblLook w:val="04A0"/>
      </w:tblPr>
      <w:tblGrid>
        <w:gridCol w:w="766"/>
        <w:gridCol w:w="1392"/>
        <w:gridCol w:w="2270"/>
        <w:gridCol w:w="841"/>
        <w:gridCol w:w="1464"/>
        <w:gridCol w:w="2216"/>
      </w:tblGrid>
      <w:tr w:rsidR="00764BD6" w:rsidRPr="00764BD6" w:rsidTr="003A06F9">
        <w:tc>
          <w:tcPr>
            <w:tcW w:w="766" w:type="dxa"/>
            <w:shd w:val="clear" w:color="auto" w:fill="D9D9D9" w:themeFill="background1" w:themeFillShade="D9"/>
          </w:tcPr>
          <w:p w:rsidR="00764BD6" w:rsidRPr="00764BD6" w:rsidRDefault="00764BD6" w:rsidP="00764BD6">
            <w:pPr>
              <w:jc w:val="center"/>
              <w:rPr>
                <w:b/>
                <w:highlight w:val="yellow"/>
              </w:rPr>
            </w:pPr>
            <w:r w:rsidRPr="00764BD6">
              <w:rPr>
                <w:b/>
                <w:highlight w:val="yellow"/>
              </w:rPr>
              <w:t>Point</w:t>
            </w:r>
          </w:p>
        </w:tc>
        <w:tc>
          <w:tcPr>
            <w:tcW w:w="1392" w:type="dxa"/>
            <w:shd w:val="clear" w:color="auto" w:fill="D9D9D9" w:themeFill="background1" w:themeFillShade="D9"/>
          </w:tcPr>
          <w:p w:rsidR="00764BD6" w:rsidRPr="00764BD6" w:rsidRDefault="00764BD6" w:rsidP="00764BD6">
            <w:pPr>
              <w:jc w:val="center"/>
              <w:rPr>
                <w:b/>
                <w:highlight w:val="yellow"/>
              </w:rPr>
            </w:pPr>
            <w:r w:rsidRPr="00764BD6">
              <w:rPr>
                <w:b/>
                <w:highlight w:val="yellow"/>
              </w:rPr>
              <w:t>N Latitude</w:t>
            </w:r>
          </w:p>
        </w:tc>
        <w:tc>
          <w:tcPr>
            <w:tcW w:w="2270" w:type="dxa"/>
            <w:shd w:val="clear" w:color="auto" w:fill="D9D9D9" w:themeFill="background1" w:themeFillShade="D9"/>
          </w:tcPr>
          <w:p w:rsidR="00764BD6" w:rsidRPr="00764BD6" w:rsidRDefault="00764BD6" w:rsidP="00764BD6">
            <w:pPr>
              <w:jc w:val="center"/>
              <w:rPr>
                <w:b/>
                <w:highlight w:val="yellow"/>
              </w:rPr>
            </w:pPr>
            <w:r w:rsidRPr="00764BD6">
              <w:rPr>
                <w:b/>
                <w:highlight w:val="yellow"/>
              </w:rPr>
              <w:t>W Longitude</w:t>
            </w:r>
          </w:p>
        </w:tc>
        <w:tc>
          <w:tcPr>
            <w:tcW w:w="841" w:type="dxa"/>
            <w:shd w:val="clear" w:color="auto" w:fill="D9D9D9" w:themeFill="background1" w:themeFillShade="D9"/>
          </w:tcPr>
          <w:p w:rsidR="00764BD6" w:rsidRPr="00764BD6" w:rsidRDefault="00764BD6" w:rsidP="00764BD6">
            <w:pPr>
              <w:jc w:val="center"/>
              <w:rPr>
                <w:b/>
                <w:highlight w:val="yellow"/>
              </w:rPr>
            </w:pPr>
            <w:r w:rsidRPr="00764BD6">
              <w:rPr>
                <w:b/>
                <w:highlight w:val="yellow"/>
              </w:rPr>
              <w:t>Point</w:t>
            </w:r>
          </w:p>
        </w:tc>
        <w:tc>
          <w:tcPr>
            <w:tcW w:w="1464" w:type="dxa"/>
            <w:shd w:val="clear" w:color="auto" w:fill="D9D9D9" w:themeFill="background1" w:themeFillShade="D9"/>
          </w:tcPr>
          <w:p w:rsidR="00764BD6" w:rsidRPr="00764BD6" w:rsidRDefault="00764BD6" w:rsidP="00764BD6">
            <w:pPr>
              <w:jc w:val="center"/>
              <w:rPr>
                <w:b/>
                <w:highlight w:val="yellow"/>
              </w:rPr>
            </w:pPr>
            <w:r w:rsidRPr="00764BD6">
              <w:rPr>
                <w:b/>
                <w:highlight w:val="yellow"/>
              </w:rPr>
              <w:t>N Latitude</w:t>
            </w:r>
          </w:p>
        </w:tc>
        <w:tc>
          <w:tcPr>
            <w:tcW w:w="2216" w:type="dxa"/>
            <w:shd w:val="clear" w:color="auto" w:fill="D9D9D9" w:themeFill="background1" w:themeFillShade="D9"/>
          </w:tcPr>
          <w:p w:rsidR="00764BD6" w:rsidRPr="00764BD6" w:rsidRDefault="00764BD6" w:rsidP="00764BD6">
            <w:pPr>
              <w:jc w:val="center"/>
              <w:rPr>
                <w:b/>
                <w:highlight w:val="yellow"/>
              </w:rPr>
            </w:pPr>
            <w:r w:rsidRPr="00764BD6">
              <w:rPr>
                <w:b/>
                <w:highlight w:val="yellow"/>
              </w:rPr>
              <w:t>W Longitude</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1</w:t>
            </w:r>
          </w:p>
        </w:tc>
        <w:tc>
          <w:tcPr>
            <w:tcW w:w="1392" w:type="dxa"/>
          </w:tcPr>
          <w:p w:rsidR="00764BD6" w:rsidRPr="00764BD6" w:rsidRDefault="00764BD6" w:rsidP="00764BD6">
            <w:pPr>
              <w:jc w:val="center"/>
              <w:rPr>
                <w:highlight w:val="yellow"/>
              </w:rPr>
            </w:pPr>
            <w:r w:rsidRPr="00764BD6">
              <w:rPr>
                <w:highlight w:val="yellow"/>
              </w:rPr>
              <w:t>35° 15'</w:t>
            </w:r>
          </w:p>
        </w:tc>
        <w:tc>
          <w:tcPr>
            <w:tcW w:w="2270" w:type="dxa"/>
          </w:tcPr>
          <w:p w:rsidR="00764BD6" w:rsidRPr="00764BD6" w:rsidRDefault="00764BD6" w:rsidP="00764BD6">
            <w:pPr>
              <w:jc w:val="center"/>
              <w:rPr>
                <w:highlight w:val="yellow"/>
              </w:rPr>
            </w:pPr>
            <w:r w:rsidRPr="00764BD6">
              <w:rPr>
                <w:highlight w:val="yellow"/>
              </w:rPr>
              <w:t>State/EEZ Boundary</w:t>
            </w:r>
          </w:p>
        </w:tc>
        <w:tc>
          <w:tcPr>
            <w:tcW w:w="841" w:type="dxa"/>
          </w:tcPr>
          <w:p w:rsidR="00764BD6" w:rsidRPr="00764BD6" w:rsidRDefault="00764BD6" w:rsidP="00764BD6">
            <w:pPr>
              <w:jc w:val="center"/>
              <w:rPr>
                <w:highlight w:val="yellow"/>
              </w:rPr>
            </w:pPr>
            <w:r w:rsidRPr="00764BD6">
              <w:rPr>
                <w:highlight w:val="yellow"/>
              </w:rPr>
              <w:t>17</w:t>
            </w:r>
          </w:p>
        </w:tc>
        <w:tc>
          <w:tcPr>
            <w:tcW w:w="1464" w:type="dxa"/>
          </w:tcPr>
          <w:p w:rsidR="00764BD6" w:rsidRPr="00764BD6" w:rsidRDefault="00764BD6" w:rsidP="00764BD6">
            <w:pPr>
              <w:jc w:val="center"/>
              <w:rPr>
                <w:highlight w:val="yellow"/>
              </w:rPr>
            </w:pPr>
            <w:r w:rsidRPr="00764BD6">
              <w:rPr>
                <w:highlight w:val="yellow"/>
              </w:rPr>
              <w:t>33° 05'</w:t>
            </w:r>
          </w:p>
        </w:tc>
        <w:tc>
          <w:tcPr>
            <w:tcW w:w="2216" w:type="dxa"/>
          </w:tcPr>
          <w:p w:rsidR="00764BD6" w:rsidRPr="00764BD6" w:rsidRDefault="00764BD6" w:rsidP="00764BD6">
            <w:pPr>
              <w:jc w:val="center"/>
              <w:rPr>
                <w:highlight w:val="yellow"/>
              </w:rPr>
            </w:pPr>
            <w:r w:rsidRPr="00764BD6">
              <w:rPr>
                <w:highlight w:val="yellow"/>
              </w:rPr>
              <w:t>78° 26'</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2</w:t>
            </w:r>
          </w:p>
        </w:tc>
        <w:tc>
          <w:tcPr>
            <w:tcW w:w="1392" w:type="dxa"/>
          </w:tcPr>
          <w:p w:rsidR="00764BD6" w:rsidRPr="00764BD6" w:rsidRDefault="00764BD6" w:rsidP="00764BD6">
            <w:pPr>
              <w:jc w:val="center"/>
              <w:rPr>
                <w:highlight w:val="yellow"/>
              </w:rPr>
            </w:pPr>
            <w:r w:rsidRPr="00764BD6">
              <w:rPr>
                <w:highlight w:val="yellow"/>
              </w:rPr>
              <w:t>35° 15'</w:t>
            </w:r>
          </w:p>
        </w:tc>
        <w:tc>
          <w:tcPr>
            <w:tcW w:w="2270" w:type="dxa"/>
          </w:tcPr>
          <w:p w:rsidR="00764BD6" w:rsidRPr="00764BD6" w:rsidRDefault="00764BD6" w:rsidP="00764BD6">
            <w:pPr>
              <w:jc w:val="center"/>
              <w:rPr>
                <w:highlight w:val="yellow"/>
              </w:rPr>
            </w:pPr>
            <w:r w:rsidRPr="00764BD6">
              <w:rPr>
                <w:highlight w:val="yellow"/>
              </w:rPr>
              <w:t>75° 09'</w:t>
            </w:r>
          </w:p>
        </w:tc>
        <w:tc>
          <w:tcPr>
            <w:tcW w:w="841" w:type="dxa"/>
          </w:tcPr>
          <w:p w:rsidR="00764BD6" w:rsidRPr="00764BD6" w:rsidRDefault="00764BD6" w:rsidP="00764BD6">
            <w:pPr>
              <w:jc w:val="center"/>
              <w:rPr>
                <w:highlight w:val="yellow"/>
              </w:rPr>
            </w:pPr>
            <w:r w:rsidRPr="00764BD6">
              <w:rPr>
                <w:highlight w:val="yellow"/>
              </w:rPr>
              <w:t>18</w:t>
            </w:r>
          </w:p>
        </w:tc>
        <w:tc>
          <w:tcPr>
            <w:tcW w:w="1464" w:type="dxa"/>
          </w:tcPr>
          <w:p w:rsidR="00764BD6" w:rsidRPr="00764BD6" w:rsidRDefault="00764BD6" w:rsidP="00764BD6">
            <w:pPr>
              <w:jc w:val="center"/>
              <w:rPr>
                <w:highlight w:val="yellow"/>
              </w:rPr>
            </w:pPr>
            <w:r w:rsidRPr="00764BD6">
              <w:rPr>
                <w:highlight w:val="yellow"/>
              </w:rPr>
              <w:t>33° 03'</w:t>
            </w:r>
          </w:p>
        </w:tc>
        <w:tc>
          <w:tcPr>
            <w:tcW w:w="2216" w:type="dxa"/>
          </w:tcPr>
          <w:p w:rsidR="00764BD6" w:rsidRPr="00764BD6" w:rsidRDefault="00764BD6" w:rsidP="00764BD6">
            <w:pPr>
              <w:jc w:val="center"/>
              <w:rPr>
                <w:highlight w:val="yellow"/>
              </w:rPr>
            </w:pPr>
            <w:r w:rsidRPr="00764BD6">
              <w:rPr>
                <w:highlight w:val="yellow"/>
              </w:rPr>
              <w:t>78° 39'</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3</w:t>
            </w:r>
          </w:p>
        </w:tc>
        <w:tc>
          <w:tcPr>
            <w:tcW w:w="1392" w:type="dxa"/>
          </w:tcPr>
          <w:p w:rsidR="00764BD6" w:rsidRPr="00764BD6" w:rsidRDefault="00764BD6" w:rsidP="00764BD6">
            <w:pPr>
              <w:jc w:val="center"/>
              <w:rPr>
                <w:highlight w:val="yellow"/>
              </w:rPr>
            </w:pPr>
            <w:r w:rsidRPr="00764BD6">
              <w:rPr>
                <w:highlight w:val="yellow"/>
              </w:rPr>
              <w:t>35° 06'</w:t>
            </w:r>
          </w:p>
        </w:tc>
        <w:tc>
          <w:tcPr>
            <w:tcW w:w="2270" w:type="dxa"/>
          </w:tcPr>
          <w:p w:rsidR="00764BD6" w:rsidRPr="00764BD6" w:rsidRDefault="00764BD6" w:rsidP="00764BD6">
            <w:pPr>
              <w:jc w:val="center"/>
              <w:rPr>
                <w:highlight w:val="yellow"/>
              </w:rPr>
            </w:pPr>
            <w:r w:rsidRPr="00764BD6">
              <w:rPr>
                <w:highlight w:val="yellow"/>
              </w:rPr>
              <w:t>75° 22'</w:t>
            </w:r>
          </w:p>
        </w:tc>
        <w:tc>
          <w:tcPr>
            <w:tcW w:w="841" w:type="dxa"/>
          </w:tcPr>
          <w:p w:rsidR="00764BD6" w:rsidRPr="00764BD6" w:rsidRDefault="00764BD6" w:rsidP="00764BD6">
            <w:pPr>
              <w:jc w:val="center"/>
              <w:rPr>
                <w:highlight w:val="yellow"/>
              </w:rPr>
            </w:pPr>
            <w:r w:rsidRPr="00764BD6">
              <w:rPr>
                <w:highlight w:val="yellow"/>
              </w:rPr>
              <w:t>19</w:t>
            </w:r>
          </w:p>
        </w:tc>
        <w:tc>
          <w:tcPr>
            <w:tcW w:w="1464" w:type="dxa"/>
          </w:tcPr>
          <w:p w:rsidR="00764BD6" w:rsidRPr="00764BD6" w:rsidRDefault="00764BD6" w:rsidP="00764BD6">
            <w:pPr>
              <w:jc w:val="center"/>
              <w:rPr>
                <w:highlight w:val="yellow"/>
              </w:rPr>
            </w:pPr>
            <w:r w:rsidRPr="00764BD6">
              <w:rPr>
                <w:highlight w:val="yellow"/>
              </w:rPr>
              <w:t>32° 42'</w:t>
            </w:r>
          </w:p>
        </w:tc>
        <w:tc>
          <w:tcPr>
            <w:tcW w:w="2216" w:type="dxa"/>
          </w:tcPr>
          <w:p w:rsidR="00764BD6" w:rsidRPr="00764BD6" w:rsidRDefault="00764BD6" w:rsidP="00764BD6">
            <w:pPr>
              <w:jc w:val="center"/>
              <w:rPr>
                <w:highlight w:val="yellow"/>
              </w:rPr>
            </w:pPr>
            <w:r w:rsidRPr="00764BD6">
              <w:rPr>
                <w:highlight w:val="yellow"/>
              </w:rPr>
              <w:t>79° 03'</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4</w:t>
            </w:r>
          </w:p>
        </w:tc>
        <w:tc>
          <w:tcPr>
            <w:tcW w:w="1392" w:type="dxa"/>
          </w:tcPr>
          <w:p w:rsidR="00764BD6" w:rsidRPr="00764BD6" w:rsidRDefault="00764BD6" w:rsidP="00764BD6">
            <w:pPr>
              <w:jc w:val="center"/>
              <w:rPr>
                <w:highlight w:val="yellow"/>
              </w:rPr>
            </w:pPr>
            <w:r w:rsidRPr="00764BD6">
              <w:rPr>
                <w:highlight w:val="yellow"/>
              </w:rPr>
              <w:t>35° 04'</w:t>
            </w:r>
          </w:p>
        </w:tc>
        <w:tc>
          <w:tcPr>
            <w:tcW w:w="2270" w:type="dxa"/>
          </w:tcPr>
          <w:p w:rsidR="00764BD6" w:rsidRPr="00764BD6" w:rsidRDefault="00764BD6" w:rsidP="00764BD6">
            <w:pPr>
              <w:jc w:val="center"/>
              <w:rPr>
                <w:highlight w:val="yellow"/>
              </w:rPr>
            </w:pPr>
            <w:r w:rsidRPr="00764BD6">
              <w:rPr>
                <w:highlight w:val="yellow"/>
              </w:rPr>
              <w:t>75° 38'</w:t>
            </w:r>
          </w:p>
        </w:tc>
        <w:tc>
          <w:tcPr>
            <w:tcW w:w="841" w:type="dxa"/>
          </w:tcPr>
          <w:p w:rsidR="00764BD6" w:rsidRPr="00764BD6" w:rsidRDefault="00764BD6" w:rsidP="00764BD6">
            <w:pPr>
              <w:jc w:val="center"/>
              <w:rPr>
                <w:highlight w:val="yellow"/>
              </w:rPr>
            </w:pPr>
            <w:r w:rsidRPr="00764BD6">
              <w:rPr>
                <w:highlight w:val="yellow"/>
              </w:rPr>
              <w:t>20</w:t>
            </w:r>
          </w:p>
        </w:tc>
        <w:tc>
          <w:tcPr>
            <w:tcW w:w="1464" w:type="dxa"/>
          </w:tcPr>
          <w:p w:rsidR="00764BD6" w:rsidRPr="00764BD6" w:rsidRDefault="00764BD6" w:rsidP="00764BD6">
            <w:pPr>
              <w:jc w:val="center"/>
              <w:rPr>
                <w:highlight w:val="yellow"/>
              </w:rPr>
            </w:pPr>
            <w:r w:rsidRPr="00764BD6">
              <w:rPr>
                <w:highlight w:val="yellow"/>
              </w:rPr>
              <w:t>32° 37'</w:t>
            </w:r>
          </w:p>
        </w:tc>
        <w:tc>
          <w:tcPr>
            <w:tcW w:w="2216" w:type="dxa"/>
          </w:tcPr>
          <w:p w:rsidR="00764BD6" w:rsidRPr="00764BD6" w:rsidRDefault="00764BD6" w:rsidP="00764BD6">
            <w:pPr>
              <w:jc w:val="center"/>
              <w:rPr>
                <w:highlight w:val="yellow"/>
              </w:rPr>
            </w:pPr>
            <w:r w:rsidRPr="00764BD6">
              <w:rPr>
                <w:highlight w:val="yellow"/>
              </w:rPr>
              <w:t>79° 18'</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5</w:t>
            </w:r>
          </w:p>
        </w:tc>
        <w:tc>
          <w:tcPr>
            <w:tcW w:w="1392" w:type="dxa"/>
          </w:tcPr>
          <w:p w:rsidR="00764BD6" w:rsidRPr="00764BD6" w:rsidRDefault="00764BD6" w:rsidP="00764BD6">
            <w:pPr>
              <w:jc w:val="center"/>
              <w:rPr>
                <w:highlight w:val="yellow"/>
              </w:rPr>
            </w:pPr>
            <w:r w:rsidRPr="00764BD6">
              <w:rPr>
                <w:highlight w:val="yellow"/>
              </w:rPr>
              <w:t>35° 00'</w:t>
            </w:r>
          </w:p>
        </w:tc>
        <w:tc>
          <w:tcPr>
            <w:tcW w:w="2270" w:type="dxa"/>
          </w:tcPr>
          <w:p w:rsidR="00764BD6" w:rsidRPr="00764BD6" w:rsidRDefault="00764BD6" w:rsidP="00764BD6">
            <w:pPr>
              <w:jc w:val="center"/>
              <w:rPr>
                <w:highlight w:val="yellow"/>
              </w:rPr>
            </w:pPr>
            <w:r w:rsidRPr="00764BD6">
              <w:rPr>
                <w:highlight w:val="yellow"/>
              </w:rPr>
              <w:t>75° 44'</w:t>
            </w:r>
          </w:p>
        </w:tc>
        <w:tc>
          <w:tcPr>
            <w:tcW w:w="841" w:type="dxa"/>
          </w:tcPr>
          <w:p w:rsidR="00764BD6" w:rsidRPr="00764BD6" w:rsidRDefault="00764BD6" w:rsidP="00764BD6">
            <w:pPr>
              <w:jc w:val="center"/>
              <w:rPr>
                <w:highlight w:val="yellow"/>
              </w:rPr>
            </w:pPr>
            <w:r w:rsidRPr="00764BD6">
              <w:rPr>
                <w:highlight w:val="yellow"/>
              </w:rPr>
              <w:t>21</w:t>
            </w:r>
          </w:p>
        </w:tc>
        <w:tc>
          <w:tcPr>
            <w:tcW w:w="1464" w:type="dxa"/>
          </w:tcPr>
          <w:p w:rsidR="00764BD6" w:rsidRPr="00764BD6" w:rsidRDefault="00764BD6" w:rsidP="00764BD6">
            <w:pPr>
              <w:jc w:val="center"/>
              <w:rPr>
                <w:highlight w:val="yellow"/>
              </w:rPr>
            </w:pPr>
            <w:r w:rsidRPr="00764BD6">
              <w:rPr>
                <w:highlight w:val="yellow"/>
              </w:rPr>
              <w:t>32° 22'</w:t>
            </w:r>
          </w:p>
        </w:tc>
        <w:tc>
          <w:tcPr>
            <w:tcW w:w="2216" w:type="dxa"/>
          </w:tcPr>
          <w:p w:rsidR="00764BD6" w:rsidRPr="00764BD6" w:rsidRDefault="00764BD6" w:rsidP="00764BD6">
            <w:pPr>
              <w:jc w:val="center"/>
              <w:rPr>
                <w:highlight w:val="yellow"/>
              </w:rPr>
            </w:pPr>
            <w:r w:rsidRPr="00764BD6">
              <w:rPr>
                <w:highlight w:val="yellow"/>
              </w:rPr>
              <w:t>79° 23'</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6</w:t>
            </w:r>
          </w:p>
        </w:tc>
        <w:tc>
          <w:tcPr>
            <w:tcW w:w="1392" w:type="dxa"/>
          </w:tcPr>
          <w:p w:rsidR="00764BD6" w:rsidRPr="00764BD6" w:rsidRDefault="00764BD6" w:rsidP="00764BD6">
            <w:pPr>
              <w:jc w:val="center"/>
              <w:rPr>
                <w:highlight w:val="yellow"/>
              </w:rPr>
            </w:pPr>
            <w:r w:rsidRPr="00764BD6">
              <w:rPr>
                <w:highlight w:val="yellow"/>
              </w:rPr>
              <w:t>34° 54'</w:t>
            </w:r>
          </w:p>
        </w:tc>
        <w:tc>
          <w:tcPr>
            <w:tcW w:w="2270" w:type="dxa"/>
          </w:tcPr>
          <w:p w:rsidR="00764BD6" w:rsidRPr="00764BD6" w:rsidRDefault="00764BD6" w:rsidP="00764BD6">
            <w:pPr>
              <w:jc w:val="center"/>
              <w:rPr>
                <w:highlight w:val="yellow"/>
              </w:rPr>
            </w:pPr>
            <w:r w:rsidRPr="00764BD6">
              <w:rPr>
                <w:highlight w:val="yellow"/>
              </w:rPr>
              <w:t>75° 46'</w:t>
            </w:r>
          </w:p>
        </w:tc>
        <w:tc>
          <w:tcPr>
            <w:tcW w:w="841" w:type="dxa"/>
          </w:tcPr>
          <w:p w:rsidR="00764BD6" w:rsidRPr="00764BD6" w:rsidRDefault="00764BD6" w:rsidP="00764BD6">
            <w:pPr>
              <w:jc w:val="center"/>
              <w:rPr>
                <w:highlight w:val="yellow"/>
              </w:rPr>
            </w:pPr>
            <w:r w:rsidRPr="00764BD6">
              <w:rPr>
                <w:highlight w:val="yellow"/>
              </w:rPr>
              <w:t>22</w:t>
            </w:r>
          </w:p>
        </w:tc>
        <w:tc>
          <w:tcPr>
            <w:tcW w:w="1464" w:type="dxa"/>
          </w:tcPr>
          <w:p w:rsidR="00764BD6" w:rsidRPr="00764BD6" w:rsidRDefault="00764BD6" w:rsidP="00764BD6">
            <w:pPr>
              <w:jc w:val="center"/>
              <w:rPr>
                <w:highlight w:val="yellow"/>
              </w:rPr>
            </w:pPr>
            <w:r w:rsidRPr="00764BD6">
              <w:rPr>
                <w:highlight w:val="yellow"/>
              </w:rPr>
              <w:t>32° 20'</w:t>
            </w:r>
          </w:p>
        </w:tc>
        <w:tc>
          <w:tcPr>
            <w:tcW w:w="2216" w:type="dxa"/>
          </w:tcPr>
          <w:p w:rsidR="00764BD6" w:rsidRPr="00764BD6" w:rsidRDefault="00764BD6" w:rsidP="00764BD6">
            <w:pPr>
              <w:jc w:val="center"/>
              <w:rPr>
                <w:highlight w:val="yellow"/>
              </w:rPr>
            </w:pPr>
            <w:r w:rsidRPr="00764BD6">
              <w:rPr>
                <w:highlight w:val="yellow"/>
              </w:rPr>
              <w:t>79° 36'</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7</w:t>
            </w:r>
          </w:p>
        </w:tc>
        <w:tc>
          <w:tcPr>
            <w:tcW w:w="1392" w:type="dxa"/>
          </w:tcPr>
          <w:p w:rsidR="00764BD6" w:rsidRPr="00764BD6" w:rsidRDefault="00764BD6" w:rsidP="00764BD6">
            <w:pPr>
              <w:jc w:val="center"/>
              <w:rPr>
                <w:highlight w:val="yellow"/>
              </w:rPr>
            </w:pPr>
            <w:r w:rsidRPr="00764BD6">
              <w:rPr>
                <w:highlight w:val="yellow"/>
              </w:rPr>
              <w:t>34° 51'</w:t>
            </w:r>
          </w:p>
        </w:tc>
        <w:tc>
          <w:tcPr>
            <w:tcW w:w="2270" w:type="dxa"/>
          </w:tcPr>
          <w:p w:rsidR="00764BD6" w:rsidRPr="00764BD6" w:rsidRDefault="00764BD6" w:rsidP="00764BD6">
            <w:pPr>
              <w:jc w:val="center"/>
              <w:rPr>
                <w:highlight w:val="yellow"/>
              </w:rPr>
            </w:pPr>
            <w:r w:rsidRPr="00764BD6">
              <w:rPr>
                <w:highlight w:val="yellow"/>
              </w:rPr>
              <w:t>75° 50'</w:t>
            </w:r>
          </w:p>
        </w:tc>
        <w:tc>
          <w:tcPr>
            <w:tcW w:w="841" w:type="dxa"/>
          </w:tcPr>
          <w:p w:rsidR="00764BD6" w:rsidRPr="00764BD6" w:rsidRDefault="00764BD6" w:rsidP="00764BD6">
            <w:pPr>
              <w:jc w:val="center"/>
              <w:rPr>
                <w:highlight w:val="yellow"/>
              </w:rPr>
            </w:pPr>
            <w:r w:rsidRPr="00764BD6">
              <w:rPr>
                <w:highlight w:val="yellow"/>
              </w:rPr>
              <w:t>23</w:t>
            </w:r>
          </w:p>
        </w:tc>
        <w:tc>
          <w:tcPr>
            <w:tcW w:w="1464" w:type="dxa"/>
          </w:tcPr>
          <w:p w:rsidR="00764BD6" w:rsidRPr="00764BD6" w:rsidRDefault="00764BD6" w:rsidP="00764BD6">
            <w:pPr>
              <w:jc w:val="center"/>
              <w:rPr>
                <w:highlight w:val="yellow"/>
              </w:rPr>
            </w:pPr>
            <w:r w:rsidRPr="00764BD6">
              <w:rPr>
                <w:highlight w:val="yellow"/>
              </w:rPr>
              <w:t>31° 31'</w:t>
            </w:r>
          </w:p>
        </w:tc>
        <w:tc>
          <w:tcPr>
            <w:tcW w:w="2216" w:type="dxa"/>
          </w:tcPr>
          <w:p w:rsidR="00764BD6" w:rsidRPr="00764BD6" w:rsidRDefault="00764BD6" w:rsidP="00764BD6">
            <w:pPr>
              <w:jc w:val="center"/>
              <w:rPr>
                <w:highlight w:val="yellow"/>
              </w:rPr>
            </w:pPr>
            <w:r w:rsidRPr="00764BD6">
              <w:rPr>
                <w:highlight w:val="yellow"/>
              </w:rPr>
              <w:t>80° 32'</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8</w:t>
            </w:r>
          </w:p>
        </w:tc>
        <w:tc>
          <w:tcPr>
            <w:tcW w:w="1392" w:type="dxa"/>
          </w:tcPr>
          <w:p w:rsidR="00764BD6" w:rsidRPr="00764BD6" w:rsidRDefault="00764BD6" w:rsidP="00764BD6">
            <w:pPr>
              <w:jc w:val="center"/>
              <w:rPr>
                <w:highlight w:val="yellow"/>
              </w:rPr>
            </w:pPr>
            <w:r w:rsidRPr="00764BD6">
              <w:rPr>
                <w:highlight w:val="yellow"/>
              </w:rPr>
              <w:t>34° 50'</w:t>
            </w:r>
          </w:p>
        </w:tc>
        <w:tc>
          <w:tcPr>
            <w:tcW w:w="2270" w:type="dxa"/>
          </w:tcPr>
          <w:p w:rsidR="00764BD6" w:rsidRPr="00764BD6" w:rsidRDefault="00764BD6" w:rsidP="00764BD6">
            <w:pPr>
              <w:jc w:val="center"/>
              <w:rPr>
                <w:highlight w:val="yellow"/>
              </w:rPr>
            </w:pPr>
            <w:r w:rsidRPr="00764BD6">
              <w:rPr>
                <w:highlight w:val="yellow"/>
              </w:rPr>
              <w:t>76° 04'</w:t>
            </w:r>
          </w:p>
        </w:tc>
        <w:tc>
          <w:tcPr>
            <w:tcW w:w="841" w:type="dxa"/>
          </w:tcPr>
          <w:p w:rsidR="00764BD6" w:rsidRPr="00764BD6" w:rsidRDefault="00764BD6" w:rsidP="00764BD6">
            <w:pPr>
              <w:jc w:val="center"/>
              <w:rPr>
                <w:highlight w:val="yellow"/>
              </w:rPr>
            </w:pPr>
            <w:r w:rsidRPr="00764BD6">
              <w:rPr>
                <w:highlight w:val="yellow"/>
              </w:rPr>
              <w:t>24</w:t>
            </w:r>
          </w:p>
        </w:tc>
        <w:tc>
          <w:tcPr>
            <w:tcW w:w="1464" w:type="dxa"/>
          </w:tcPr>
          <w:p w:rsidR="00764BD6" w:rsidRPr="00764BD6" w:rsidRDefault="00764BD6" w:rsidP="00764BD6">
            <w:pPr>
              <w:jc w:val="center"/>
              <w:rPr>
                <w:highlight w:val="yellow"/>
              </w:rPr>
            </w:pPr>
            <w:r w:rsidRPr="00764BD6">
              <w:rPr>
                <w:highlight w:val="yellow"/>
              </w:rPr>
              <w:t>30° 43'</w:t>
            </w:r>
          </w:p>
        </w:tc>
        <w:tc>
          <w:tcPr>
            <w:tcW w:w="2216" w:type="dxa"/>
          </w:tcPr>
          <w:p w:rsidR="00764BD6" w:rsidRPr="00764BD6" w:rsidRDefault="00764BD6" w:rsidP="00764BD6">
            <w:pPr>
              <w:jc w:val="center"/>
              <w:rPr>
                <w:highlight w:val="yellow"/>
              </w:rPr>
            </w:pPr>
            <w:r w:rsidRPr="00764BD6">
              <w:rPr>
                <w:highlight w:val="yellow"/>
              </w:rPr>
              <w:t>80° 49'</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9</w:t>
            </w:r>
          </w:p>
        </w:tc>
        <w:tc>
          <w:tcPr>
            <w:tcW w:w="1392" w:type="dxa"/>
          </w:tcPr>
          <w:p w:rsidR="00764BD6" w:rsidRPr="00764BD6" w:rsidRDefault="00764BD6" w:rsidP="00764BD6">
            <w:pPr>
              <w:jc w:val="center"/>
              <w:rPr>
                <w:highlight w:val="yellow"/>
              </w:rPr>
            </w:pPr>
            <w:r w:rsidRPr="00764BD6">
              <w:rPr>
                <w:highlight w:val="yellow"/>
              </w:rPr>
              <w:t>34° 32'</w:t>
            </w:r>
          </w:p>
        </w:tc>
        <w:tc>
          <w:tcPr>
            <w:tcW w:w="2270" w:type="dxa"/>
          </w:tcPr>
          <w:p w:rsidR="00764BD6" w:rsidRPr="00764BD6" w:rsidRDefault="00764BD6" w:rsidP="00764BD6">
            <w:pPr>
              <w:jc w:val="center"/>
              <w:rPr>
                <w:highlight w:val="yellow"/>
              </w:rPr>
            </w:pPr>
            <w:r w:rsidRPr="00764BD6">
              <w:rPr>
                <w:highlight w:val="yellow"/>
              </w:rPr>
              <w:t>76° 20'</w:t>
            </w:r>
          </w:p>
        </w:tc>
        <w:tc>
          <w:tcPr>
            <w:tcW w:w="841" w:type="dxa"/>
          </w:tcPr>
          <w:p w:rsidR="00764BD6" w:rsidRPr="00764BD6" w:rsidRDefault="00764BD6" w:rsidP="00764BD6">
            <w:pPr>
              <w:jc w:val="center"/>
              <w:rPr>
                <w:highlight w:val="yellow"/>
              </w:rPr>
            </w:pPr>
            <w:r w:rsidRPr="00764BD6">
              <w:rPr>
                <w:highlight w:val="yellow"/>
              </w:rPr>
              <w:t>25</w:t>
            </w:r>
          </w:p>
        </w:tc>
        <w:tc>
          <w:tcPr>
            <w:tcW w:w="1464" w:type="dxa"/>
          </w:tcPr>
          <w:p w:rsidR="00764BD6" w:rsidRPr="00764BD6" w:rsidRDefault="00764BD6" w:rsidP="00764BD6">
            <w:pPr>
              <w:jc w:val="center"/>
              <w:rPr>
                <w:highlight w:val="yellow"/>
              </w:rPr>
            </w:pPr>
            <w:r w:rsidRPr="00764BD6">
              <w:rPr>
                <w:highlight w:val="yellow"/>
              </w:rPr>
              <w:t>30° 30'</w:t>
            </w:r>
          </w:p>
        </w:tc>
        <w:tc>
          <w:tcPr>
            <w:tcW w:w="2216" w:type="dxa"/>
          </w:tcPr>
          <w:p w:rsidR="00764BD6" w:rsidRPr="00764BD6" w:rsidRDefault="00764BD6" w:rsidP="00764BD6">
            <w:pPr>
              <w:jc w:val="center"/>
              <w:rPr>
                <w:highlight w:val="yellow"/>
              </w:rPr>
            </w:pPr>
            <w:r w:rsidRPr="00764BD6">
              <w:rPr>
                <w:highlight w:val="yellow"/>
              </w:rPr>
              <w:t>80° 58'</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10</w:t>
            </w:r>
          </w:p>
        </w:tc>
        <w:tc>
          <w:tcPr>
            <w:tcW w:w="1392" w:type="dxa"/>
          </w:tcPr>
          <w:p w:rsidR="00764BD6" w:rsidRPr="00764BD6" w:rsidRDefault="00764BD6" w:rsidP="00764BD6">
            <w:pPr>
              <w:jc w:val="center"/>
              <w:rPr>
                <w:highlight w:val="yellow"/>
              </w:rPr>
            </w:pPr>
            <w:r w:rsidRPr="00764BD6">
              <w:rPr>
                <w:highlight w:val="yellow"/>
              </w:rPr>
              <w:t>34° 21'</w:t>
            </w:r>
          </w:p>
        </w:tc>
        <w:tc>
          <w:tcPr>
            <w:tcW w:w="2270" w:type="dxa"/>
          </w:tcPr>
          <w:p w:rsidR="00764BD6" w:rsidRPr="00764BD6" w:rsidRDefault="00764BD6" w:rsidP="00764BD6">
            <w:pPr>
              <w:jc w:val="center"/>
              <w:rPr>
                <w:highlight w:val="yellow"/>
              </w:rPr>
            </w:pPr>
            <w:r w:rsidRPr="00764BD6">
              <w:rPr>
                <w:highlight w:val="yellow"/>
              </w:rPr>
              <w:t>76° 15'</w:t>
            </w:r>
          </w:p>
        </w:tc>
        <w:tc>
          <w:tcPr>
            <w:tcW w:w="841" w:type="dxa"/>
          </w:tcPr>
          <w:p w:rsidR="00764BD6" w:rsidRPr="00764BD6" w:rsidRDefault="00764BD6" w:rsidP="00764BD6">
            <w:pPr>
              <w:jc w:val="center"/>
              <w:rPr>
                <w:highlight w:val="yellow"/>
              </w:rPr>
            </w:pPr>
            <w:r w:rsidRPr="00764BD6">
              <w:rPr>
                <w:highlight w:val="yellow"/>
              </w:rPr>
              <w:t>26</w:t>
            </w:r>
          </w:p>
        </w:tc>
        <w:tc>
          <w:tcPr>
            <w:tcW w:w="1464" w:type="dxa"/>
          </w:tcPr>
          <w:p w:rsidR="00764BD6" w:rsidRPr="00764BD6" w:rsidRDefault="00764BD6" w:rsidP="00764BD6">
            <w:pPr>
              <w:jc w:val="center"/>
              <w:rPr>
                <w:highlight w:val="yellow"/>
              </w:rPr>
            </w:pPr>
            <w:r w:rsidRPr="00764BD6">
              <w:rPr>
                <w:highlight w:val="yellow"/>
              </w:rPr>
              <w:t>30° 13'</w:t>
            </w:r>
          </w:p>
        </w:tc>
        <w:tc>
          <w:tcPr>
            <w:tcW w:w="2216" w:type="dxa"/>
          </w:tcPr>
          <w:p w:rsidR="00764BD6" w:rsidRPr="00764BD6" w:rsidRDefault="00764BD6" w:rsidP="00764BD6">
            <w:pPr>
              <w:jc w:val="center"/>
              <w:rPr>
                <w:highlight w:val="yellow"/>
              </w:rPr>
            </w:pPr>
            <w:r w:rsidRPr="00764BD6">
              <w:rPr>
                <w:highlight w:val="yellow"/>
              </w:rPr>
              <w:t>81° 01'</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11</w:t>
            </w:r>
          </w:p>
        </w:tc>
        <w:tc>
          <w:tcPr>
            <w:tcW w:w="1392" w:type="dxa"/>
          </w:tcPr>
          <w:p w:rsidR="00764BD6" w:rsidRPr="00764BD6" w:rsidRDefault="00764BD6" w:rsidP="00764BD6">
            <w:pPr>
              <w:jc w:val="center"/>
              <w:rPr>
                <w:highlight w:val="yellow"/>
              </w:rPr>
            </w:pPr>
            <w:r w:rsidRPr="00764BD6">
              <w:rPr>
                <w:highlight w:val="yellow"/>
              </w:rPr>
              <w:t>34° 15'</w:t>
            </w:r>
          </w:p>
        </w:tc>
        <w:tc>
          <w:tcPr>
            <w:tcW w:w="2270" w:type="dxa"/>
          </w:tcPr>
          <w:p w:rsidR="00764BD6" w:rsidRPr="00764BD6" w:rsidRDefault="00764BD6" w:rsidP="00764BD6">
            <w:pPr>
              <w:jc w:val="center"/>
              <w:rPr>
                <w:highlight w:val="yellow"/>
              </w:rPr>
            </w:pPr>
            <w:r w:rsidRPr="00764BD6">
              <w:rPr>
                <w:highlight w:val="yellow"/>
              </w:rPr>
              <w:t>77° 04'</w:t>
            </w:r>
          </w:p>
        </w:tc>
        <w:tc>
          <w:tcPr>
            <w:tcW w:w="841" w:type="dxa"/>
          </w:tcPr>
          <w:p w:rsidR="00764BD6" w:rsidRPr="00764BD6" w:rsidRDefault="00764BD6" w:rsidP="00764BD6">
            <w:pPr>
              <w:jc w:val="center"/>
              <w:rPr>
                <w:highlight w:val="yellow"/>
              </w:rPr>
            </w:pPr>
            <w:r w:rsidRPr="00764BD6">
              <w:rPr>
                <w:highlight w:val="yellow"/>
              </w:rPr>
              <w:t>27</w:t>
            </w:r>
          </w:p>
        </w:tc>
        <w:tc>
          <w:tcPr>
            <w:tcW w:w="1464" w:type="dxa"/>
          </w:tcPr>
          <w:p w:rsidR="00764BD6" w:rsidRPr="00764BD6" w:rsidRDefault="00764BD6" w:rsidP="00764BD6">
            <w:pPr>
              <w:jc w:val="center"/>
              <w:rPr>
                <w:highlight w:val="yellow"/>
              </w:rPr>
            </w:pPr>
            <w:r w:rsidRPr="00764BD6">
              <w:rPr>
                <w:highlight w:val="yellow"/>
              </w:rPr>
              <w:t>29° 32'</w:t>
            </w:r>
          </w:p>
        </w:tc>
        <w:tc>
          <w:tcPr>
            <w:tcW w:w="2216" w:type="dxa"/>
          </w:tcPr>
          <w:p w:rsidR="00764BD6" w:rsidRPr="00764BD6" w:rsidRDefault="00764BD6" w:rsidP="00764BD6">
            <w:pPr>
              <w:jc w:val="center"/>
              <w:rPr>
                <w:highlight w:val="yellow"/>
              </w:rPr>
            </w:pPr>
            <w:r w:rsidRPr="00764BD6">
              <w:rPr>
                <w:highlight w:val="yellow"/>
              </w:rPr>
              <w:t>80° 49'</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12</w:t>
            </w:r>
          </w:p>
        </w:tc>
        <w:tc>
          <w:tcPr>
            <w:tcW w:w="1392" w:type="dxa"/>
          </w:tcPr>
          <w:p w:rsidR="00764BD6" w:rsidRPr="00764BD6" w:rsidRDefault="00764BD6" w:rsidP="00764BD6">
            <w:pPr>
              <w:jc w:val="center"/>
              <w:rPr>
                <w:highlight w:val="yellow"/>
              </w:rPr>
            </w:pPr>
            <w:r w:rsidRPr="00764BD6">
              <w:rPr>
                <w:highlight w:val="yellow"/>
              </w:rPr>
              <w:t>33° 43'</w:t>
            </w:r>
          </w:p>
        </w:tc>
        <w:tc>
          <w:tcPr>
            <w:tcW w:w="2270" w:type="dxa"/>
          </w:tcPr>
          <w:p w:rsidR="00764BD6" w:rsidRPr="00764BD6" w:rsidRDefault="00764BD6" w:rsidP="00764BD6">
            <w:pPr>
              <w:jc w:val="center"/>
              <w:rPr>
                <w:highlight w:val="yellow"/>
              </w:rPr>
            </w:pPr>
            <w:r w:rsidRPr="00764BD6">
              <w:rPr>
                <w:highlight w:val="yellow"/>
              </w:rPr>
              <w:t>77° 34'</w:t>
            </w:r>
          </w:p>
        </w:tc>
        <w:tc>
          <w:tcPr>
            <w:tcW w:w="841" w:type="dxa"/>
          </w:tcPr>
          <w:p w:rsidR="00764BD6" w:rsidRPr="00764BD6" w:rsidRDefault="00764BD6" w:rsidP="00764BD6">
            <w:pPr>
              <w:jc w:val="center"/>
              <w:rPr>
                <w:highlight w:val="yellow"/>
              </w:rPr>
            </w:pPr>
            <w:r w:rsidRPr="00764BD6">
              <w:rPr>
                <w:highlight w:val="yellow"/>
              </w:rPr>
              <w:t>28</w:t>
            </w:r>
          </w:p>
        </w:tc>
        <w:tc>
          <w:tcPr>
            <w:tcW w:w="1464" w:type="dxa"/>
          </w:tcPr>
          <w:p w:rsidR="00764BD6" w:rsidRPr="00764BD6" w:rsidRDefault="00764BD6" w:rsidP="00764BD6">
            <w:pPr>
              <w:jc w:val="center"/>
              <w:rPr>
                <w:highlight w:val="yellow"/>
              </w:rPr>
            </w:pPr>
            <w:r w:rsidRPr="00764BD6">
              <w:rPr>
                <w:highlight w:val="yellow"/>
              </w:rPr>
              <w:t>29° 13'</w:t>
            </w:r>
          </w:p>
        </w:tc>
        <w:tc>
          <w:tcPr>
            <w:tcW w:w="2216" w:type="dxa"/>
          </w:tcPr>
          <w:p w:rsidR="00764BD6" w:rsidRPr="00764BD6" w:rsidRDefault="00764BD6" w:rsidP="00764BD6">
            <w:pPr>
              <w:jc w:val="center"/>
              <w:rPr>
                <w:highlight w:val="yellow"/>
              </w:rPr>
            </w:pPr>
            <w:r w:rsidRPr="00764BD6">
              <w:rPr>
                <w:highlight w:val="yellow"/>
              </w:rPr>
              <w:t>80° 46'</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13</w:t>
            </w:r>
          </w:p>
        </w:tc>
        <w:tc>
          <w:tcPr>
            <w:tcW w:w="1392" w:type="dxa"/>
          </w:tcPr>
          <w:p w:rsidR="00764BD6" w:rsidRPr="00764BD6" w:rsidRDefault="00764BD6" w:rsidP="00764BD6">
            <w:pPr>
              <w:jc w:val="center"/>
              <w:rPr>
                <w:highlight w:val="yellow"/>
              </w:rPr>
            </w:pPr>
            <w:r w:rsidRPr="00764BD6">
              <w:rPr>
                <w:highlight w:val="yellow"/>
              </w:rPr>
              <w:t>33° 23'</w:t>
            </w:r>
          </w:p>
        </w:tc>
        <w:tc>
          <w:tcPr>
            <w:tcW w:w="2270" w:type="dxa"/>
          </w:tcPr>
          <w:p w:rsidR="00764BD6" w:rsidRPr="00764BD6" w:rsidRDefault="00764BD6" w:rsidP="00764BD6">
            <w:pPr>
              <w:jc w:val="center"/>
              <w:rPr>
                <w:highlight w:val="yellow"/>
              </w:rPr>
            </w:pPr>
            <w:r w:rsidRPr="00764BD6">
              <w:rPr>
                <w:highlight w:val="yellow"/>
              </w:rPr>
              <w:t>77° 24'</w:t>
            </w:r>
          </w:p>
        </w:tc>
        <w:tc>
          <w:tcPr>
            <w:tcW w:w="841" w:type="dxa"/>
          </w:tcPr>
          <w:p w:rsidR="00764BD6" w:rsidRPr="00764BD6" w:rsidRDefault="00764BD6" w:rsidP="00764BD6">
            <w:pPr>
              <w:jc w:val="center"/>
              <w:rPr>
                <w:highlight w:val="yellow"/>
              </w:rPr>
            </w:pPr>
            <w:r w:rsidRPr="00764BD6">
              <w:rPr>
                <w:highlight w:val="yellow"/>
              </w:rPr>
              <w:t>29</w:t>
            </w:r>
          </w:p>
        </w:tc>
        <w:tc>
          <w:tcPr>
            <w:tcW w:w="1464" w:type="dxa"/>
          </w:tcPr>
          <w:p w:rsidR="00764BD6" w:rsidRPr="00764BD6" w:rsidRDefault="00764BD6" w:rsidP="00764BD6">
            <w:pPr>
              <w:jc w:val="center"/>
              <w:rPr>
                <w:highlight w:val="yellow"/>
              </w:rPr>
            </w:pPr>
            <w:r w:rsidRPr="00764BD6">
              <w:rPr>
                <w:highlight w:val="yellow"/>
              </w:rPr>
              <w:t>28° 37'</w:t>
            </w:r>
          </w:p>
        </w:tc>
        <w:tc>
          <w:tcPr>
            <w:tcW w:w="2216" w:type="dxa"/>
          </w:tcPr>
          <w:p w:rsidR="00764BD6" w:rsidRPr="00764BD6" w:rsidRDefault="00764BD6" w:rsidP="00764BD6">
            <w:pPr>
              <w:jc w:val="center"/>
              <w:rPr>
                <w:highlight w:val="yellow"/>
              </w:rPr>
            </w:pPr>
            <w:r w:rsidRPr="00764BD6">
              <w:rPr>
                <w:highlight w:val="yellow"/>
              </w:rPr>
              <w:t>80° 20'</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14</w:t>
            </w:r>
          </w:p>
        </w:tc>
        <w:tc>
          <w:tcPr>
            <w:tcW w:w="1392" w:type="dxa"/>
          </w:tcPr>
          <w:p w:rsidR="00764BD6" w:rsidRPr="00764BD6" w:rsidRDefault="00764BD6" w:rsidP="00764BD6">
            <w:pPr>
              <w:jc w:val="center"/>
              <w:rPr>
                <w:highlight w:val="yellow"/>
              </w:rPr>
            </w:pPr>
            <w:r w:rsidRPr="00764BD6">
              <w:rPr>
                <w:highlight w:val="yellow"/>
              </w:rPr>
              <w:t>33° 20'</w:t>
            </w:r>
          </w:p>
        </w:tc>
        <w:tc>
          <w:tcPr>
            <w:tcW w:w="2270" w:type="dxa"/>
          </w:tcPr>
          <w:p w:rsidR="00764BD6" w:rsidRPr="00764BD6" w:rsidRDefault="00764BD6" w:rsidP="00764BD6">
            <w:pPr>
              <w:jc w:val="center"/>
              <w:rPr>
                <w:highlight w:val="yellow"/>
              </w:rPr>
            </w:pPr>
            <w:r w:rsidRPr="00764BD6">
              <w:rPr>
                <w:highlight w:val="yellow"/>
              </w:rPr>
              <w:t>77° 41'</w:t>
            </w:r>
          </w:p>
        </w:tc>
        <w:tc>
          <w:tcPr>
            <w:tcW w:w="841" w:type="dxa"/>
          </w:tcPr>
          <w:p w:rsidR="00764BD6" w:rsidRPr="00764BD6" w:rsidRDefault="00764BD6" w:rsidP="00764BD6">
            <w:pPr>
              <w:jc w:val="center"/>
              <w:rPr>
                <w:highlight w:val="yellow"/>
              </w:rPr>
            </w:pPr>
            <w:r w:rsidRPr="00764BD6">
              <w:rPr>
                <w:highlight w:val="yellow"/>
              </w:rPr>
              <w:t>30</w:t>
            </w:r>
          </w:p>
        </w:tc>
        <w:tc>
          <w:tcPr>
            <w:tcW w:w="1464" w:type="dxa"/>
          </w:tcPr>
          <w:p w:rsidR="00764BD6" w:rsidRPr="00764BD6" w:rsidRDefault="00764BD6" w:rsidP="00764BD6">
            <w:pPr>
              <w:jc w:val="center"/>
              <w:rPr>
                <w:highlight w:val="yellow"/>
              </w:rPr>
            </w:pPr>
            <w:r w:rsidRPr="00764BD6">
              <w:rPr>
                <w:highlight w:val="yellow"/>
              </w:rPr>
              <w:t>28° 21'</w:t>
            </w:r>
          </w:p>
        </w:tc>
        <w:tc>
          <w:tcPr>
            <w:tcW w:w="2216" w:type="dxa"/>
          </w:tcPr>
          <w:p w:rsidR="00764BD6" w:rsidRPr="00764BD6" w:rsidRDefault="00764BD6" w:rsidP="00764BD6">
            <w:pPr>
              <w:jc w:val="center"/>
              <w:rPr>
                <w:highlight w:val="yellow"/>
              </w:rPr>
            </w:pPr>
            <w:r w:rsidRPr="00764BD6">
              <w:rPr>
                <w:highlight w:val="yellow"/>
              </w:rPr>
              <w:t>80° 18'</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15</w:t>
            </w:r>
          </w:p>
        </w:tc>
        <w:tc>
          <w:tcPr>
            <w:tcW w:w="1392" w:type="dxa"/>
          </w:tcPr>
          <w:p w:rsidR="00764BD6" w:rsidRPr="00764BD6" w:rsidRDefault="00764BD6" w:rsidP="00764BD6">
            <w:pPr>
              <w:jc w:val="center"/>
              <w:rPr>
                <w:highlight w:val="yellow"/>
              </w:rPr>
            </w:pPr>
            <w:r w:rsidRPr="00764BD6">
              <w:rPr>
                <w:highlight w:val="yellow"/>
              </w:rPr>
              <w:t>33° 27'</w:t>
            </w:r>
          </w:p>
        </w:tc>
        <w:tc>
          <w:tcPr>
            <w:tcW w:w="2270" w:type="dxa"/>
          </w:tcPr>
          <w:p w:rsidR="00764BD6" w:rsidRPr="00764BD6" w:rsidRDefault="00764BD6" w:rsidP="00764BD6">
            <w:pPr>
              <w:jc w:val="center"/>
              <w:rPr>
                <w:highlight w:val="yellow"/>
              </w:rPr>
            </w:pPr>
            <w:r w:rsidRPr="00764BD6">
              <w:rPr>
                <w:highlight w:val="yellow"/>
              </w:rPr>
              <w:t>77° 54'</w:t>
            </w:r>
          </w:p>
        </w:tc>
        <w:tc>
          <w:tcPr>
            <w:tcW w:w="841" w:type="dxa"/>
          </w:tcPr>
          <w:p w:rsidR="00764BD6" w:rsidRPr="00764BD6" w:rsidRDefault="00764BD6" w:rsidP="00764BD6">
            <w:pPr>
              <w:jc w:val="center"/>
              <w:rPr>
                <w:highlight w:val="yellow"/>
              </w:rPr>
            </w:pPr>
            <w:r w:rsidRPr="00764BD6">
              <w:rPr>
                <w:highlight w:val="yellow"/>
              </w:rPr>
              <w:t>31</w:t>
            </w:r>
          </w:p>
        </w:tc>
        <w:tc>
          <w:tcPr>
            <w:tcW w:w="1464" w:type="dxa"/>
          </w:tcPr>
          <w:p w:rsidR="00764BD6" w:rsidRPr="00764BD6" w:rsidRDefault="00764BD6" w:rsidP="00764BD6">
            <w:pPr>
              <w:jc w:val="center"/>
              <w:rPr>
                <w:highlight w:val="yellow"/>
              </w:rPr>
            </w:pPr>
            <w:r w:rsidRPr="00764BD6">
              <w:rPr>
                <w:highlight w:val="yellow"/>
              </w:rPr>
              <w:t>28° 21'</w:t>
            </w:r>
          </w:p>
        </w:tc>
        <w:tc>
          <w:tcPr>
            <w:tcW w:w="2216" w:type="dxa"/>
          </w:tcPr>
          <w:p w:rsidR="00764BD6" w:rsidRPr="00764BD6" w:rsidRDefault="00764BD6" w:rsidP="00764BD6">
            <w:pPr>
              <w:jc w:val="center"/>
              <w:rPr>
                <w:highlight w:val="yellow"/>
              </w:rPr>
            </w:pPr>
            <w:r w:rsidRPr="00764BD6">
              <w:rPr>
                <w:highlight w:val="yellow"/>
              </w:rPr>
              <w:t>State/EEZ Boundary</w:t>
            </w:r>
          </w:p>
        </w:tc>
      </w:tr>
      <w:tr w:rsidR="00764BD6" w:rsidRPr="00764BD6" w:rsidTr="003A06F9">
        <w:tc>
          <w:tcPr>
            <w:tcW w:w="766" w:type="dxa"/>
          </w:tcPr>
          <w:p w:rsidR="00764BD6" w:rsidRPr="00764BD6" w:rsidRDefault="00764BD6" w:rsidP="00764BD6">
            <w:pPr>
              <w:jc w:val="center"/>
              <w:rPr>
                <w:highlight w:val="yellow"/>
              </w:rPr>
            </w:pPr>
            <w:r w:rsidRPr="00764BD6">
              <w:rPr>
                <w:highlight w:val="yellow"/>
              </w:rPr>
              <w:t>16</w:t>
            </w:r>
          </w:p>
        </w:tc>
        <w:tc>
          <w:tcPr>
            <w:tcW w:w="1392" w:type="dxa"/>
          </w:tcPr>
          <w:p w:rsidR="00764BD6" w:rsidRPr="00764BD6" w:rsidRDefault="00764BD6" w:rsidP="00764BD6">
            <w:pPr>
              <w:jc w:val="center"/>
              <w:rPr>
                <w:highlight w:val="yellow"/>
              </w:rPr>
            </w:pPr>
            <w:r w:rsidRPr="00764BD6">
              <w:rPr>
                <w:highlight w:val="yellow"/>
              </w:rPr>
              <w:t>33° 17'</w:t>
            </w:r>
          </w:p>
        </w:tc>
        <w:tc>
          <w:tcPr>
            <w:tcW w:w="2270" w:type="dxa"/>
          </w:tcPr>
          <w:p w:rsidR="00764BD6" w:rsidRPr="00764BD6" w:rsidRDefault="00764BD6" w:rsidP="00764BD6">
            <w:pPr>
              <w:jc w:val="center"/>
              <w:rPr>
                <w:highlight w:val="yellow"/>
              </w:rPr>
            </w:pPr>
            <w:r w:rsidRPr="00764BD6">
              <w:rPr>
                <w:highlight w:val="yellow"/>
              </w:rPr>
              <w:t>78° 22'</w:t>
            </w:r>
          </w:p>
        </w:tc>
        <w:tc>
          <w:tcPr>
            <w:tcW w:w="841" w:type="dxa"/>
          </w:tcPr>
          <w:p w:rsidR="00764BD6" w:rsidRPr="00764BD6" w:rsidRDefault="00764BD6" w:rsidP="00764BD6">
            <w:pPr>
              <w:jc w:val="center"/>
              <w:rPr>
                <w:highlight w:val="yellow"/>
              </w:rPr>
            </w:pPr>
          </w:p>
        </w:tc>
        <w:tc>
          <w:tcPr>
            <w:tcW w:w="1464" w:type="dxa"/>
          </w:tcPr>
          <w:p w:rsidR="00764BD6" w:rsidRPr="00764BD6" w:rsidRDefault="00764BD6" w:rsidP="00764BD6">
            <w:pPr>
              <w:jc w:val="center"/>
              <w:rPr>
                <w:highlight w:val="yellow"/>
              </w:rPr>
            </w:pPr>
          </w:p>
        </w:tc>
        <w:tc>
          <w:tcPr>
            <w:tcW w:w="2216" w:type="dxa"/>
          </w:tcPr>
          <w:p w:rsidR="00764BD6" w:rsidRPr="00764BD6" w:rsidRDefault="00764BD6" w:rsidP="00764BD6">
            <w:pPr>
              <w:jc w:val="center"/>
              <w:rPr>
                <w:highlight w:val="yellow"/>
              </w:rPr>
            </w:pPr>
          </w:p>
        </w:tc>
      </w:tr>
    </w:tbl>
    <w:p w:rsidR="00764BD6" w:rsidRPr="00764BD6" w:rsidRDefault="00764BD6" w:rsidP="00764BD6">
      <w:pPr>
        <w:rPr>
          <w:highlight w:val="yellow"/>
        </w:rPr>
      </w:pPr>
    </w:p>
    <w:p w:rsidR="00764BD6" w:rsidRPr="00764BD6" w:rsidRDefault="00764BD6" w:rsidP="00764BD6">
      <w:pPr>
        <w:rPr>
          <w:highlight w:val="yellow"/>
        </w:rPr>
      </w:pPr>
      <w:r w:rsidRPr="00764BD6">
        <w:rPr>
          <w:noProof/>
          <w:highlight w:val="yellow"/>
        </w:rPr>
        <w:lastRenderedPageBreak/>
        <w:drawing>
          <wp:inline distT="0" distB="0" distL="0" distR="0">
            <wp:extent cx="5943600" cy="73653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B_Proposed_LGWH_Alt12_600dpi.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7365365"/>
                    </a:xfrm>
                    <a:prstGeom prst="rect">
                      <a:avLst/>
                    </a:prstGeom>
                  </pic:spPr>
                </pic:pic>
              </a:graphicData>
            </a:graphic>
          </wp:inline>
        </w:drawing>
      </w:r>
    </w:p>
    <w:p w:rsidR="00764BD6" w:rsidRPr="00764BD6" w:rsidRDefault="00764BD6" w:rsidP="00764BD6">
      <w:pPr>
        <w:pStyle w:val="Figuretitle"/>
        <w:rPr>
          <w:rFonts w:ascii="Arial" w:hAnsi="Arial" w:cs="Arial"/>
          <w:sz w:val="20"/>
          <w:szCs w:val="20"/>
          <w:highlight w:val="yellow"/>
        </w:rPr>
      </w:pPr>
      <w:bookmarkStart w:id="20" w:name="_Toc432070092"/>
      <w:proofErr w:type="gramStart"/>
      <w:r w:rsidRPr="00764BD6">
        <w:rPr>
          <w:rStyle w:val="FiguretitleChar1"/>
          <w:rFonts w:ascii="Arial" w:eastAsiaTheme="minorHAnsi" w:hAnsi="Arial" w:cs="Arial"/>
          <w:b/>
          <w:sz w:val="20"/>
          <w:szCs w:val="20"/>
          <w:highlight w:val="yellow"/>
        </w:rPr>
        <w:t>Figure 2.1.1</w:t>
      </w:r>
      <w:r w:rsidR="00F71F9E">
        <w:rPr>
          <w:rStyle w:val="FiguretitleChar1"/>
          <w:rFonts w:ascii="Arial" w:eastAsiaTheme="minorHAnsi" w:hAnsi="Arial" w:cs="Arial"/>
          <w:b/>
          <w:sz w:val="20"/>
          <w:szCs w:val="20"/>
          <w:highlight w:val="yellow"/>
        </w:rPr>
        <w:t>3</w:t>
      </w:r>
      <w:r w:rsidRPr="00764BD6">
        <w:rPr>
          <w:rStyle w:val="FiguretitleChar1"/>
          <w:rFonts w:ascii="Arial" w:eastAsiaTheme="minorHAnsi" w:hAnsi="Arial" w:cs="Arial"/>
          <w:b/>
          <w:sz w:val="20"/>
          <w:szCs w:val="20"/>
          <w:highlight w:val="yellow"/>
        </w:rPr>
        <w:t>.</w:t>
      </w:r>
      <w:proofErr w:type="gramEnd"/>
      <w:r w:rsidRPr="00764BD6">
        <w:rPr>
          <w:rStyle w:val="FiguretitleChar1"/>
          <w:rFonts w:ascii="Arial" w:eastAsiaTheme="minorHAnsi" w:hAnsi="Arial" w:cs="Arial"/>
          <w:sz w:val="20"/>
          <w:szCs w:val="20"/>
          <w:highlight w:val="yellow"/>
        </w:rPr>
        <w:t xml:space="preserve">  </w:t>
      </w:r>
      <w:proofErr w:type="gramStart"/>
      <w:r w:rsidRPr="00764BD6">
        <w:rPr>
          <w:rStyle w:val="FiguretitleChar1"/>
          <w:rFonts w:ascii="Arial" w:eastAsiaTheme="minorHAnsi" w:hAnsi="Arial" w:cs="Arial"/>
          <w:sz w:val="20"/>
          <w:szCs w:val="20"/>
          <w:highlight w:val="yellow"/>
        </w:rPr>
        <w:t>Area for the proposed black sea bass pot closure</w:t>
      </w:r>
      <w:r w:rsidR="000242E5" w:rsidRPr="00764BD6">
        <w:rPr>
          <w:rStyle w:val="FiguretitleChar1"/>
          <w:rFonts w:ascii="Arial" w:eastAsiaTheme="minorHAnsi" w:hAnsi="Arial" w:cs="Arial"/>
          <w:sz w:val="20"/>
          <w:szCs w:val="20"/>
          <w:highlight w:val="yellow"/>
        </w:rPr>
        <w:fldChar w:fldCharType="begin"/>
      </w:r>
      <w:r w:rsidRPr="00764BD6">
        <w:rPr>
          <w:rFonts w:ascii="Arial" w:hAnsi="Arial" w:cs="Arial"/>
          <w:sz w:val="20"/>
          <w:szCs w:val="20"/>
          <w:highlight w:val="yellow"/>
        </w:rPr>
        <w:instrText xml:space="preserve"> XE "</w:instrText>
      </w:r>
      <w:r w:rsidRPr="00764BD6">
        <w:rPr>
          <w:rStyle w:val="FiguretitleChar1"/>
          <w:rFonts w:ascii="Arial" w:eastAsiaTheme="minorHAnsi" w:hAnsi="Arial" w:cs="Arial"/>
          <w:sz w:val="20"/>
          <w:szCs w:val="20"/>
          <w:highlight w:val="yellow"/>
        </w:rPr>
        <w:instrText>black sea bass pot closure</w:instrText>
      </w:r>
      <w:r w:rsidRPr="00764BD6">
        <w:rPr>
          <w:rFonts w:ascii="Arial" w:hAnsi="Arial" w:cs="Arial"/>
          <w:sz w:val="20"/>
          <w:szCs w:val="20"/>
          <w:highlight w:val="yellow"/>
        </w:rPr>
        <w:instrText xml:space="preserve">" </w:instrText>
      </w:r>
      <w:r w:rsidR="000242E5" w:rsidRPr="00764BD6">
        <w:rPr>
          <w:rStyle w:val="FiguretitleChar1"/>
          <w:rFonts w:ascii="Arial" w:eastAsiaTheme="minorHAnsi" w:hAnsi="Arial" w:cs="Arial"/>
          <w:sz w:val="20"/>
          <w:szCs w:val="20"/>
          <w:highlight w:val="yellow"/>
        </w:rPr>
        <w:fldChar w:fldCharType="end"/>
      </w:r>
      <w:r w:rsidRPr="00764BD6">
        <w:rPr>
          <w:rStyle w:val="FiguretitleChar1"/>
          <w:rFonts w:ascii="Arial" w:eastAsiaTheme="minorHAnsi" w:hAnsi="Arial" w:cs="Arial"/>
          <w:sz w:val="20"/>
          <w:szCs w:val="20"/>
          <w:highlight w:val="yellow"/>
        </w:rPr>
        <w:t xml:space="preserve"> in </w:t>
      </w:r>
      <w:r w:rsidRPr="00764BD6">
        <w:rPr>
          <w:rStyle w:val="FiguretitleChar1"/>
          <w:rFonts w:ascii="Arial" w:eastAsiaTheme="minorHAnsi" w:hAnsi="Arial" w:cs="Arial"/>
          <w:b/>
          <w:sz w:val="20"/>
          <w:szCs w:val="20"/>
          <w:highlight w:val="yellow"/>
        </w:rPr>
        <w:t>Alternative 12</w:t>
      </w:r>
      <w:r w:rsidRPr="00764BD6">
        <w:rPr>
          <w:rStyle w:val="FiguretitleChar1"/>
          <w:rFonts w:ascii="Arial" w:eastAsiaTheme="minorHAnsi" w:hAnsi="Arial" w:cs="Arial"/>
          <w:sz w:val="20"/>
          <w:szCs w:val="20"/>
          <w:highlight w:val="yellow"/>
        </w:rPr>
        <w:t xml:space="preserve"> from November 1 through April 30.</w:t>
      </w:r>
      <w:bookmarkEnd w:id="20"/>
      <w:proofErr w:type="gramEnd"/>
    </w:p>
    <w:p w:rsidR="00764BD6" w:rsidRDefault="00764BD6" w:rsidP="00764BD6">
      <w:pPr>
        <w:rPr>
          <w:iCs/>
          <w:sz w:val="20"/>
          <w:szCs w:val="20"/>
        </w:rPr>
      </w:pPr>
      <w:r w:rsidRPr="00764BD6">
        <w:rPr>
          <w:iCs/>
          <w:sz w:val="20"/>
          <w:szCs w:val="20"/>
          <w:highlight w:val="yellow"/>
        </w:rPr>
        <w:t>Source: Amanda Frick, NMFS SERO</w:t>
      </w:r>
      <w:r>
        <w:rPr>
          <w:iCs/>
          <w:sz w:val="20"/>
          <w:szCs w:val="20"/>
        </w:rPr>
        <w:br w:type="page"/>
      </w:r>
    </w:p>
    <w:p w:rsidR="00B95130" w:rsidRDefault="003851CD" w:rsidP="00135EA7">
      <w:pPr>
        <w:spacing w:line="276" w:lineRule="auto"/>
        <w:outlineLvl w:val="0"/>
        <w:rPr>
          <w:b/>
          <w:sz w:val="28"/>
          <w:szCs w:val="28"/>
        </w:rPr>
      </w:pPr>
      <w:r>
        <w:rPr>
          <w:b/>
          <w:sz w:val="28"/>
          <w:szCs w:val="28"/>
        </w:rPr>
        <w:lastRenderedPageBreak/>
        <w:t>Biological Effects</w:t>
      </w:r>
      <w:r w:rsidR="00B95130">
        <w:rPr>
          <w:b/>
          <w:sz w:val="28"/>
          <w:szCs w:val="28"/>
        </w:rPr>
        <w:t>:</w:t>
      </w:r>
    </w:p>
    <w:p w:rsidR="00790CB0" w:rsidRDefault="00790CB0" w:rsidP="003851CD">
      <w:pPr>
        <w:rPr>
          <w:rFonts w:cs="Times New Roman"/>
          <w:sz w:val="28"/>
          <w:szCs w:val="28"/>
          <w:u w:val="single"/>
        </w:rPr>
      </w:pPr>
    </w:p>
    <w:p w:rsidR="003851CD" w:rsidRPr="00790CB0" w:rsidRDefault="003851CD" w:rsidP="003851CD">
      <w:pPr>
        <w:rPr>
          <w:rFonts w:cs="Times New Roman"/>
          <w:sz w:val="28"/>
          <w:szCs w:val="28"/>
          <w:u w:val="single"/>
        </w:rPr>
      </w:pPr>
      <w:r w:rsidRPr="00790CB0">
        <w:rPr>
          <w:rFonts w:cs="Times New Roman"/>
          <w:sz w:val="28"/>
          <w:szCs w:val="28"/>
          <w:u w:val="single"/>
        </w:rPr>
        <w:t>Black Sea Bass</w:t>
      </w:r>
    </w:p>
    <w:p w:rsidR="00AF014F" w:rsidRPr="001D0A99" w:rsidRDefault="00AF014F" w:rsidP="00AF014F">
      <w:pPr>
        <w:widowControl w:val="0"/>
        <w:autoSpaceDE w:val="0"/>
        <w:autoSpaceDN w:val="0"/>
        <w:adjustRightInd w:val="0"/>
      </w:pPr>
      <w:r w:rsidRPr="001D0A99">
        <w:t>Regardless of which alternative the South Atlantic Council chooses, no biological impacts to the black sea bass stock</w:t>
      </w:r>
      <w:r w:rsidR="000242E5">
        <w:fldChar w:fldCharType="begin"/>
      </w:r>
      <w:r>
        <w:instrText xml:space="preserve"> XE "</w:instrText>
      </w:r>
      <w:r w:rsidRPr="00FB3C47">
        <w:instrText>black sea bass stock</w:instrText>
      </w:r>
      <w:r>
        <w:instrText xml:space="preserve">" </w:instrText>
      </w:r>
      <w:r w:rsidR="000242E5">
        <w:fldChar w:fldCharType="end"/>
      </w:r>
      <w:r w:rsidRPr="001D0A99">
        <w:t xml:space="preserve"> are expected. Adverse effects are prevented because overall harvest in the commercial sector is limited to the commercial </w:t>
      </w:r>
      <w:r w:rsidR="00F71F9E">
        <w:t>annual catch limit (</w:t>
      </w:r>
      <w:r w:rsidRPr="001D0A99">
        <w:t>ACL</w:t>
      </w:r>
      <w:r w:rsidR="00F71F9E">
        <w:t>)</w:t>
      </w:r>
      <w:r w:rsidRPr="001D0A99">
        <w:t>; commercial accountability measures are also in place. The ACL is reduced from the overfishing level as required to address assessment uncertainty.  In addition, there is no evidence to suggest that changing the timing of harvest within the periods covered by the alternatives would have adverse biological impacts. These alternatives are predicted to harvest 97-100% of the ACL and would not provide additional protection to the black sea bass stock in terms of reduced harvest (</w:t>
      </w:r>
      <w:r w:rsidRPr="001D0A99">
        <w:rPr>
          <w:b/>
          <w:bCs/>
        </w:rPr>
        <w:t xml:space="preserve">Table </w:t>
      </w:r>
      <w:r>
        <w:rPr>
          <w:b/>
          <w:bCs/>
        </w:rPr>
        <w:t>3</w:t>
      </w:r>
      <w:r w:rsidRPr="001D0A99">
        <w:t>).  Therefore, there is no difference in the biological effects on black sea bass from the alternatives.</w:t>
      </w:r>
    </w:p>
    <w:p w:rsidR="003851CD" w:rsidRDefault="003851CD" w:rsidP="003851CD">
      <w:pPr>
        <w:widowControl w:val="0"/>
        <w:autoSpaceDE w:val="0"/>
        <w:autoSpaceDN w:val="0"/>
        <w:adjustRightInd w:val="0"/>
        <w:rPr>
          <w:rFonts w:ascii="Cambria" w:hAnsi="Cambria" w:cs="Cambria"/>
          <w:sz w:val="32"/>
          <w:szCs w:val="32"/>
        </w:rPr>
      </w:pPr>
      <w:r>
        <w:rPr>
          <w:rFonts w:cs="Times New Roman"/>
          <w:sz w:val="32"/>
          <w:szCs w:val="32"/>
        </w:rPr>
        <w:t> </w:t>
      </w:r>
    </w:p>
    <w:p w:rsidR="003851CD" w:rsidRPr="0038194A" w:rsidRDefault="005643F2" w:rsidP="003851CD">
      <w:pPr>
        <w:widowControl w:val="0"/>
        <w:autoSpaceDE w:val="0"/>
        <w:autoSpaceDN w:val="0"/>
        <w:adjustRightInd w:val="0"/>
        <w:rPr>
          <w:rFonts w:cs="Times New Roman"/>
        </w:rPr>
      </w:pPr>
      <w:proofErr w:type="gramStart"/>
      <w:r>
        <w:rPr>
          <w:rFonts w:cs="Times New Roman"/>
          <w:b/>
          <w:bCs/>
        </w:rPr>
        <w:t xml:space="preserve">Table </w:t>
      </w:r>
      <w:r w:rsidR="00EC4927">
        <w:rPr>
          <w:rFonts w:cs="Times New Roman"/>
          <w:b/>
          <w:bCs/>
        </w:rPr>
        <w:t>3</w:t>
      </w:r>
      <w:r w:rsidR="008E4DD2">
        <w:rPr>
          <w:rFonts w:cs="Times New Roman"/>
          <w:b/>
          <w:bCs/>
        </w:rPr>
        <w:t>.</w:t>
      </w:r>
      <w:proofErr w:type="gramEnd"/>
      <w:r w:rsidR="003851CD" w:rsidRPr="0038194A">
        <w:rPr>
          <w:rFonts w:cs="Times New Roman"/>
        </w:rPr>
        <w:t xml:space="preserve"> Expected closure dates for the commercial black sea bass fishery </w:t>
      </w:r>
      <w:r w:rsidR="006A2530">
        <w:rPr>
          <w:rFonts w:cs="Times New Roman"/>
        </w:rPr>
        <w:t>w</w:t>
      </w:r>
      <w:r w:rsidR="003851CD" w:rsidRPr="0038194A">
        <w:rPr>
          <w:rFonts w:cs="Times New Roman"/>
        </w:rPr>
        <w:t>ith a January 1 fishing year start date.</w:t>
      </w:r>
    </w:p>
    <w:tbl>
      <w:tblPr>
        <w:tblW w:w="8565" w:type="dxa"/>
        <w:tblInd w:w="93" w:type="dxa"/>
        <w:tblLayout w:type="fixed"/>
        <w:tblLook w:val="04A0"/>
      </w:tblPr>
      <w:tblGrid>
        <w:gridCol w:w="2085"/>
        <w:gridCol w:w="1620"/>
        <w:gridCol w:w="1620"/>
        <w:gridCol w:w="1620"/>
        <w:gridCol w:w="1620"/>
      </w:tblGrid>
      <w:tr w:rsidR="00AF014F" w:rsidRPr="00A77B61" w:rsidTr="00AF014F">
        <w:trPr>
          <w:trHeight w:val="300"/>
        </w:trPr>
        <w:tc>
          <w:tcPr>
            <w:tcW w:w="2085" w:type="dxa"/>
            <w:tcBorders>
              <w:top w:val="single" w:sz="4" w:space="0" w:color="auto"/>
              <w:left w:val="single" w:sz="4" w:space="0" w:color="auto"/>
              <w:bottom w:val="single" w:sz="4" w:space="0" w:color="auto"/>
              <w:right w:val="nil"/>
            </w:tcBorders>
            <w:shd w:val="clear" w:color="000000" w:fill="C5D9F1"/>
            <w:noWrap/>
            <w:vAlign w:val="bottom"/>
            <w:hideMark/>
          </w:tcPr>
          <w:p w:rsidR="00AF014F" w:rsidRPr="00A77B61" w:rsidRDefault="00AF014F" w:rsidP="00AF014F">
            <w:pPr>
              <w:rPr>
                <w:rFonts w:ascii="Calibri" w:hAnsi="Calibri"/>
                <w:b/>
                <w:bCs/>
                <w:color w:val="000000"/>
              </w:rPr>
            </w:pPr>
            <w:r w:rsidRPr="00A77B61">
              <w:rPr>
                <w:rFonts w:ascii="Calibri" w:hAnsi="Calibri"/>
                <w:b/>
                <w:bCs/>
                <w:color w:val="000000"/>
              </w:rPr>
              <w:t> </w:t>
            </w:r>
          </w:p>
        </w:tc>
        <w:tc>
          <w:tcPr>
            <w:tcW w:w="162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AF014F" w:rsidRPr="00A77B61" w:rsidRDefault="00AF014F" w:rsidP="00AF014F">
            <w:pPr>
              <w:rPr>
                <w:rFonts w:ascii="Calibri" w:hAnsi="Calibri"/>
                <w:b/>
                <w:bCs/>
                <w:color w:val="000000"/>
              </w:rPr>
            </w:pPr>
            <w:r w:rsidRPr="00A77B61">
              <w:rPr>
                <w:rFonts w:ascii="Calibri" w:hAnsi="Calibri"/>
                <w:b/>
                <w:bCs/>
                <w:color w:val="000000"/>
              </w:rPr>
              <w:t>Scenario 1</w:t>
            </w:r>
          </w:p>
        </w:tc>
        <w:tc>
          <w:tcPr>
            <w:tcW w:w="1620" w:type="dxa"/>
            <w:tcBorders>
              <w:top w:val="single" w:sz="4" w:space="0" w:color="auto"/>
              <w:left w:val="nil"/>
              <w:bottom w:val="single" w:sz="4" w:space="0" w:color="auto"/>
              <w:right w:val="nil"/>
            </w:tcBorders>
            <w:shd w:val="clear" w:color="000000" w:fill="C5D9F1"/>
            <w:noWrap/>
            <w:vAlign w:val="bottom"/>
            <w:hideMark/>
          </w:tcPr>
          <w:p w:rsidR="00AF014F" w:rsidRPr="00A77B61" w:rsidRDefault="00AF014F" w:rsidP="00AF014F">
            <w:pPr>
              <w:rPr>
                <w:rFonts w:ascii="Calibri" w:hAnsi="Calibri"/>
                <w:b/>
                <w:bCs/>
                <w:color w:val="000000"/>
              </w:rPr>
            </w:pPr>
            <w:r w:rsidRPr="00A77B61">
              <w:rPr>
                <w:rFonts w:ascii="Calibri" w:hAnsi="Calibri"/>
                <w:b/>
                <w:bCs/>
                <w:color w:val="000000"/>
              </w:rPr>
              <w:t>Scenario 2</w:t>
            </w:r>
          </w:p>
        </w:tc>
        <w:tc>
          <w:tcPr>
            <w:tcW w:w="162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AF014F" w:rsidRPr="00A77B61" w:rsidRDefault="00AF014F" w:rsidP="00AF014F">
            <w:pPr>
              <w:rPr>
                <w:rFonts w:ascii="Calibri" w:hAnsi="Calibri"/>
                <w:b/>
                <w:bCs/>
                <w:color w:val="000000"/>
              </w:rPr>
            </w:pPr>
            <w:r w:rsidRPr="00A77B61">
              <w:rPr>
                <w:rFonts w:ascii="Calibri" w:hAnsi="Calibri"/>
                <w:b/>
                <w:bCs/>
                <w:color w:val="000000"/>
              </w:rPr>
              <w:t>Scenario 3</w:t>
            </w:r>
          </w:p>
        </w:tc>
        <w:tc>
          <w:tcPr>
            <w:tcW w:w="1620" w:type="dxa"/>
            <w:tcBorders>
              <w:top w:val="single" w:sz="4" w:space="0" w:color="auto"/>
              <w:left w:val="nil"/>
              <w:bottom w:val="single" w:sz="4" w:space="0" w:color="auto"/>
              <w:right w:val="single" w:sz="4" w:space="0" w:color="auto"/>
            </w:tcBorders>
            <w:shd w:val="clear" w:color="000000" w:fill="C5D9F1"/>
            <w:noWrap/>
            <w:vAlign w:val="bottom"/>
            <w:hideMark/>
          </w:tcPr>
          <w:p w:rsidR="00AF014F" w:rsidRPr="00A77B61" w:rsidRDefault="00AF014F" w:rsidP="00AF014F">
            <w:pPr>
              <w:rPr>
                <w:rFonts w:ascii="Calibri" w:hAnsi="Calibri"/>
                <w:b/>
                <w:bCs/>
                <w:color w:val="000000"/>
              </w:rPr>
            </w:pPr>
            <w:r w:rsidRPr="00A77B61">
              <w:rPr>
                <w:rFonts w:ascii="Calibri" w:hAnsi="Calibri"/>
                <w:b/>
                <w:bCs/>
                <w:color w:val="000000"/>
              </w:rPr>
              <w:t>Scenario 4</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Alternative 1</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jc w:val="center"/>
              <w:rPr>
                <w:rFonts w:ascii="Calibri" w:hAnsi="Calibri"/>
                <w:color w:val="000000"/>
              </w:rPr>
            </w:pPr>
            <w:r w:rsidRPr="00A77B61">
              <w:rPr>
                <w:rFonts w:ascii="Calibri" w:hAnsi="Calibri"/>
                <w:color w:val="000000"/>
              </w:rPr>
              <w:t>No Closure</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jc w:val="center"/>
              <w:rPr>
                <w:rFonts w:ascii="Calibri" w:hAnsi="Calibri"/>
                <w:color w:val="000000"/>
              </w:rPr>
            </w:pPr>
            <w:r w:rsidRPr="00A77B61">
              <w:rPr>
                <w:rFonts w:ascii="Calibri" w:hAnsi="Calibri"/>
                <w:color w:val="000000"/>
              </w:rPr>
              <w:t>No Closure</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jc w:val="center"/>
              <w:rPr>
                <w:rFonts w:ascii="Calibri" w:hAnsi="Calibri"/>
                <w:color w:val="000000"/>
              </w:rPr>
            </w:pPr>
            <w:r w:rsidRPr="00A77B61">
              <w:rPr>
                <w:rFonts w:ascii="Calibri" w:hAnsi="Calibri"/>
                <w:color w:val="000000"/>
              </w:rPr>
              <w:t>No Closure</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jc w:val="center"/>
              <w:rPr>
                <w:rFonts w:ascii="Calibri" w:hAnsi="Calibri"/>
                <w:color w:val="000000"/>
              </w:rPr>
            </w:pPr>
            <w:r w:rsidRPr="00A77B61">
              <w:rPr>
                <w:rFonts w:ascii="Calibri" w:hAnsi="Calibri"/>
                <w:color w:val="000000"/>
              </w:rPr>
              <w:t>No Closure</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Alternative 2</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10/2</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8/4</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10/26 - 11/4</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11/19 - 12/3</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Alternative 3</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11/26 - 12/5</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10/4 - 10/17</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10/26 - 11/4</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11/19 - 12/3</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Alternative 4</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12/20 - 12/30</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12/7 - 12/22</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12/11 - 12/18</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12/19 - 12/30</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Alternative 5</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12/16 - 12/24</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12/1 - 12/11</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12/6 - 12/11</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12/15 - 12/23</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Alternative 6</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12/20 - NC*</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12/7 - 12/25</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12/10 - 12/20</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12/19 - NC</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Sub-Alternative 7a</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10/11 - 10/12</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8/18 - 8/20</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10/6 - 10/9</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10/7 - -10/9</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Sub-Alternative 7b</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12/28 - NC</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12/18 - 12/30</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12/17 - 12/21</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12/28 - NC</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Sub-Alternative 7c</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12/22 - 12/28</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12/9 - 12/17</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12/11 - 12/14</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12/23 - 12/29</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Sub-Alternative 8a</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12/6 - 12/11</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10/14 - 10/25</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10/29 - 11/5</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12/5 - 12/9</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A77B61" w:rsidRDefault="00AF014F" w:rsidP="00AF014F">
            <w:pPr>
              <w:rPr>
                <w:rFonts w:ascii="Calibri" w:hAnsi="Calibri"/>
                <w:color w:val="000000"/>
              </w:rPr>
            </w:pPr>
            <w:r w:rsidRPr="00A77B61">
              <w:rPr>
                <w:rFonts w:ascii="Calibri" w:hAnsi="Calibri"/>
                <w:color w:val="000000"/>
              </w:rPr>
              <w:t>Sub-Alternative 8b</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12/29 - NC</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12/20 - 12/30</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12/18 - 12/21</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12/29 - NC</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hideMark/>
          </w:tcPr>
          <w:p w:rsidR="00AF014F" w:rsidRPr="00113EA3" w:rsidRDefault="00AF014F" w:rsidP="00AF014F">
            <w:pPr>
              <w:rPr>
                <w:rFonts w:ascii="Calibri" w:hAnsi="Calibri"/>
                <w:color w:val="000000"/>
              </w:rPr>
            </w:pPr>
            <w:r w:rsidRPr="00113EA3">
              <w:rPr>
                <w:rFonts w:ascii="Calibri" w:hAnsi="Calibri"/>
                <w:color w:val="000000"/>
              </w:rPr>
              <w:t>Sub-Alternative 9a</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10/28 - 11/9</w:t>
            </w:r>
          </w:p>
        </w:tc>
        <w:tc>
          <w:tcPr>
            <w:tcW w:w="1620" w:type="dxa"/>
            <w:tcBorders>
              <w:top w:val="nil"/>
              <w:left w:val="nil"/>
              <w:bottom w:val="nil"/>
              <w:right w:val="nil"/>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9/15 - 9/27</w:t>
            </w:r>
          </w:p>
        </w:tc>
        <w:tc>
          <w:tcPr>
            <w:tcW w:w="1620" w:type="dxa"/>
            <w:tcBorders>
              <w:top w:val="nil"/>
              <w:left w:val="single" w:sz="4" w:space="0" w:color="auto"/>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10/13 - 10/19</w:t>
            </w:r>
          </w:p>
        </w:tc>
        <w:tc>
          <w:tcPr>
            <w:tcW w:w="1620" w:type="dxa"/>
            <w:tcBorders>
              <w:top w:val="nil"/>
              <w:left w:val="nil"/>
              <w:bottom w:val="nil"/>
              <w:right w:val="single" w:sz="4" w:space="0" w:color="auto"/>
            </w:tcBorders>
            <w:shd w:val="clear" w:color="auto" w:fill="auto"/>
            <w:noWrap/>
            <w:vAlign w:val="bottom"/>
            <w:hideMark/>
          </w:tcPr>
          <w:p w:rsidR="00AF014F" w:rsidRPr="00A77B61" w:rsidRDefault="00AF014F" w:rsidP="00AF014F">
            <w:pPr>
              <w:rPr>
                <w:rFonts w:ascii="Calibri" w:hAnsi="Calibri"/>
                <w:color w:val="000000"/>
              </w:rPr>
            </w:pPr>
            <w:r w:rsidRPr="00A77B61">
              <w:rPr>
                <w:rFonts w:ascii="Calibri" w:hAnsi="Calibri"/>
                <w:color w:val="000000"/>
              </w:rPr>
              <w:t>10/24 - 11/3</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tcPr>
          <w:p w:rsidR="00AF014F" w:rsidRPr="00A77B61" w:rsidRDefault="00AF014F" w:rsidP="00AF014F">
            <w:pPr>
              <w:rPr>
                <w:rFonts w:ascii="Calibri" w:hAnsi="Calibri"/>
                <w:color w:val="000000"/>
              </w:rPr>
            </w:pPr>
            <w:r w:rsidRPr="00A77B61">
              <w:rPr>
                <w:rFonts w:ascii="Calibri" w:hAnsi="Calibri"/>
                <w:color w:val="000000"/>
              </w:rPr>
              <w:t>Sub-Alternative 9b</w:t>
            </w:r>
          </w:p>
        </w:tc>
        <w:tc>
          <w:tcPr>
            <w:tcW w:w="1620" w:type="dxa"/>
            <w:tcBorders>
              <w:top w:val="nil"/>
              <w:left w:val="single" w:sz="4" w:space="0" w:color="auto"/>
              <w:bottom w:val="nil"/>
              <w:right w:val="single" w:sz="4" w:space="0" w:color="auto"/>
            </w:tcBorders>
            <w:shd w:val="clear" w:color="auto" w:fill="auto"/>
            <w:noWrap/>
            <w:vAlign w:val="bottom"/>
          </w:tcPr>
          <w:p w:rsidR="00AF014F" w:rsidRPr="00A77B61" w:rsidRDefault="00AF014F" w:rsidP="00AF014F">
            <w:pPr>
              <w:rPr>
                <w:rFonts w:ascii="Calibri" w:hAnsi="Calibri"/>
                <w:color w:val="000000"/>
              </w:rPr>
            </w:pPr>
            <w:r w:rsidRPr="00A77B61">
              <w:rPr>
                <w:rFonts w:ascii="Calibri" w:hAnsi="Calibri"/>
                <w:color w:val="000000"/>
              </w:rPr>
              <w:t>12/26 - NC</w:t>
            </w:r>
          </w:p>
        </w:tc>
        <w:tc>
          <w:tcPr>
            <w:tcW w:w="1620" w:type="dxa"/>
            <w:tcBorders>
              <w:top w:val="nil"/>
              <w:left w:val="nil"/>
              <w:bottom w:val="nil"/>
              <w:right w:val="nil"/>
            </w:tcBorders>
            <w:shd w:val="clear" w:color="auto" w:fill="auto"/>
            <w:noWrap/>
            <w:vAlign w:val="bottom"/>
          </w:tcPr>
          <w:p w:rsidR="00AF014F" w:rsidRPr="00A77B61" w:rsidRDefault="00AF014F" w:rsidP="00AF014F">
            <w:pPr>
              <w:rPr>
                <w:rFonts w:ascii="Calibri" w:hAnsi="Calibri"/>
                <w:color w:val="000000"/>
              </w:rPr>
            </w:pPr>
            <w:r w:rsidRPr="00A77B61">
              <w:rPr>
                <w:rFonts w:ascii="Calibri" w:hAnsi="Calibri"/>
                <w:color w:val="000000"/>
              </w:rPr>
              <w:t>12/15 - 12/28</w:t>
            </w:r>
          </w:p>
        </w:tc>
        <w:tc>
          <w:tcPr>
            <w:tcW w:w="1620" w:type="dxa"/>
            <w:tcBorders>
              <w:top w:val="nil"/>
              <w:left w:val="single" w:sz="4" w:space="0" w:color="auto"/>
              <w:bottom w:val="nil"/>
              <w:right w:val="single" w:sz="4" w:space="0" w:color="auto"/>
            </w:tcBorders>
            <w:shd w:val="clear" w:color="auto" w:fill="auto"/>
            <w:noWrap/>
            <w:vAlign w:val="bottom"/>
          </w:tcPr>
          <w:p w:rsidR="00AF014F" w:rsidRPr="00A77B61" w:rsidRDefault="00AF014F" w:rsidP="00AF014F">
            <w:pPr>
              <w:rPr>
                <w:rFonts w:ascii="Calibri" w:hAnsi="Calibri"/>
                <w:color w:val="000000"/>
              </w:rPr>
            </w:pPr>
            <w:r w:rsidRPr="00A77B61">
              <w:rPr>
                <w:rFonts w:ascii="Calibri" w:hAnsi="Calibri"/>
                <w:color w:val="000000"/>
              </w:rPr>
              <w:t>12/14 - 12/20</w:t>
            </w:r>
          </w:p>
        </w:tc>
        <w:tc>
          <w:tcPr>
            <w:tcW w:w="1620" w:type="dxa"/>
            <w:tcBorders>
              <w:top w:val="nil"/>
              <w:left w:val="nil"/>
              <w:bottom w:val="nil"/>
              <w:right w:val="single" w:sz="4" w:space="0" w:color="auto"/>
            </w:tcBorders>
            <w:shd w:val="clear" w:color="auto" w:fill="auto"/>
            <w:noWrap/>
            <w:vAlign w:val="bottom"/>
          </w:tcPr>
          <w:p w:rsidR="00AF014F" w:rsidRPr="00A77B61" w:rsidRDefault="00AF014F" w:rsidP="00AF014F">
            <w:pPr>
              <w:rPr>
                <w:rFonts w:ascii="Calibri" w:hAnsi="Calibri"/>
                <w:color w:val="000000"/>
              </w:rPr>
            </w:pPr>
            <w:r w:rsidRPr="00A77B61">
              <w:rPr>
                <w:rFonts w:ascii="Calibri" w:hAnsi="Calibri"/>
                <w:color w:val="000000"/>
              </w:rPr>
              <w:t>12/26 - NC</w:t>
            </w:r>
          </w:p>
        </w:tc>
      </w:tr>
      <w:tr w:rsidR="00AF014F" w:rsidRPr="00A77B61" w:rsidTr="00AF014F">
        <w:trPr>
          <w:trHeight w:val="300"/>
        </w:trPr>
        <w:tc>
          <w:tcPr>
            <w:tcW w:w="2085" w:type="dxa"/>
            <w:tcBorders>
              <w:top w:val="nil"/>
              <w:left w:val="single" w:sz="4" w:space="0" w:color="auto"/>
              <w:bottom w:val="nil"/>
              <w:right w:val="nil"/>
            </w:tcBorders>
            <w:shd w:val="clear" w:color="000000" w:fill="C5D9F1"/>
            <w:noWrap/>
            <w:vAlign w:val="bottom"/>
          </w:tcPr>
          <w:p w:rsidR="00AF014F" w:rsidRPr="00A77B61" w:rsidRDefault="00AF014F" w:rsidP="00AF014F">
            <w:pPr>
              <w:rPr>
                <w:rFonts w:ascii="Calibri" w:hAnsi="Calibri"/>
                <w:color w:val="000000"/>
              </w:rPr>
            </w:pPr>
            <w:r w:rsidRPr="00A77B61">
              <w:rPr>
                <w:rFonts w:ascii="Calibri" w:hAnsi="Calibri"/>
                <w:color w:val="000000"/>
              </w:rPr>
              <w:t>Alternative 10</w:t>
            </w:r>
          </w:p>
        </w:tc>
        <w:tc>
          <w:tcPr>
            <w:tcW w:w="1620" w:type="dxa"/>
            <w:tcBorders>
              <w:top w:val="nil"/>
              <w:left w:val="single" w:sz="4" w:space="0" w:color="auto"/>
              <w:bottom w:val="nil"/>
              <w:right w:val="single" w:sz="4" w:space="0" w:color="auto"/>
            </w:tcBorders>
            <w:shd w:val="clear" w:color="auto" w:fill="auto"/>
            <w:noWrap/>
            <w:vAlign w:val="bottom"/>
          </w:tcPr>
          <w:p w:rsidR="00AF014F" w:rsidRPr="00A77B61" w:rsidRDefault="00AF014F" w:rsidP="00AF014F">
            <w:pPr>
              <w:rPr>
                <w:rFonts w:ascii="Calibri" w:hAnsi="Calibri"/>
                <w:color w:val="000000"/>
              </w:rPr>
            </w:pPr>
            <w:r w:rsidRPr="00A77B61">
              <w:rPr>
                <w:rFonts w:ascii="Calibri" w:hAnsi="Calibri"/>
                <w:color w:val="000000"/>
              </w:rPr>
              <w:t>12/27 - NC</w:t>
            </w:r>
          </w:p>
        </w:tc>
        <w:tc>
          <w:tcPr>
            <w:tcW w:w="1620" w:type="dxa"/>
            <w:tcBorders>
              <w:top w:val="nil"/>
              <w:left w:val="nil"/>
              <w:bottom w:val="nil"/>
              <w:right w:val="nil"/>
            </w:tcBorders>
            <w:shd w:val="clear" w:color="auto" w:fill="auto"/>
            <w:noWrap/>
            <w:vAlign w:val="bottom"/>
          </w:tcPr>
          <w:p w:rsidR="00AF014F" w:rsidRPr="00A77B61" w:rsidRDefault="00AF014F" w:rsidP="00AF014F">
            <w:pPr>
              <w:rPr>
                <w:rFonts w:ascii="Calibri" w:hAnsi="Calibri"/>
                <w:color w:val="000000"/>
              </w:rPr>
            </w:pPr>
            <w:r w:rsidRPr="00A77B61">
              <w:rPr>
                <w:rFonts w:ascii="Calibri" w:hAnsi="Calibri"/>
                <w:color w:val="000000"/>
              </w:rPr>
              <w:t>12/17 - 12/29</w:t>
            </w:r>
          </w:p>
        </w:tc>
        <w:tc>
          <w:tcPr>
            <w:tcW w:w="1620" w:type="dxa"/>
            <w:tcBorders>
              <w:top w:val="nil"/>
              <w:left w:val="single" w:sz="4" w:space="0" w:color="auto"/>
              <w:bottom w:val="nil"/>
              <w:right w:val="single" w:sz="4" w:space="0" w:color="auto"/>
            </w:tcBorders>
            <w:shd w:val="clear" w:color="auto" w:fill="auto"/>
            <w:noWrap/>
            <w:vAlign w:val="bottom"/>
          </w:tcPr>
          <w:p w:rsidR="00AF014F" w:rsidRPr="00A77B61" w:rsidRDefault="00AF014F" w:rsidP="00AF014F">
            <w:pPr>
              <w:rPr>
                <w:rFonts w:ascii="Calibri" w:hAnsi="Calibri"/>
                <w:color w:val="000000"/>
              </w:rPr>
            </w:pPr>
            <w:r w:rsidRPr="00A77B61">
              <w:rPr>
                <w:rFonts w:ascii="Calibri" w:hAnsi="Calibri"/>
                <w:color w:val="000000"/>
              </w:rPr>
              <w:t>12/16 - 12/20</w:t>
            </w:r>
          </w:p>
        </w:tc>
        <w:tc>
          <w:tcPr>
            <w:tcW w:w="1620" w:type="dxa"/>
            <w:tcBorders>
              <w:top w:val="nil"/>
              <w:left w:val="nil"/>
              <w:bottom w:val="nil"/>
              <w:right w:val="single" w:sz="4" w:space="0" w:color="auto"/>
            </w:tcBorders>
            <w:shd w:val="clear" w:color="auto" w:fill="auto"/>
            <w:noWrap/>
            <w:vAlign w:val="bottom"/>
          </w:tcPr>
          <w:p w:rsidR="00AF014F" w:rsidRPr="00A77B61" w:rsidRDefault="00AF014F" w:rsidP="00AF014F">
            <w:pPr>
              <w:rPr>
                <w:rFonts w:ascii="Calibri" w:hAnsi="Calibri"/>
                <w:color w:val="000000"/>
              </w:rPr>
            </w:pPr>
            <w:r w:rsidRPr="00A77B61">
              <w:rPr>
                <w:rFonts w:ascii="Calibri" w:hAnsi="Calibri"/>
                <w:color w:val="000000"/>
              </w:rPr>
              <w:t>12/28 - NC</w:t>
            </w:r>
          </w:p>
        </w:tc>
      </w:tr>
      <w:tr w:rsidR="00AF014F" w:rsidRPr="00A77B61" w:rsidTr="00363AEF">
        <w:trPr>
          <w:trHeight w:val="300"/>
        </w:trPr>
        <w:tc>
          <w:tcPr>
            <w:tcW w:w="2085" w:type="dxa"/>
            <w:tcBorders>
              <w:top w:val="nil"/>
              <w:left w:val="single" w:sz="4" w:space="0" w:color="auto"/>
              <w:bottom w:val="nil"/>
              <w:right w:val="nil"/>
            </w:tcBorders>
            <w:shd w:val="clear" w:color="000000" w:fill="C5D9F1"/>
            <w:noWrap/>
            <w:vAlign w:val="bottom"/>
          </w:tcPr>
          <w:p w:rsidR="00AF014F" w:rsidRPr="00363AEF" w:rsidRDefault="00363AEF" w:rsidP="00AF014F">
            <w:pPr>
              <w:rPr>
                <w:rFonts w:ascii="Calibri" w:hAnsi="Calibri"/>
                <w:b/>
                <w:color w:val="000000"/>
              </w:rPr>
            </w:pPr>
            <w:r w:rsidRPr="00363AEF">
              <w:rPr>
                <w:rFonts w:ascii="Calibri" w:hAnsi="Calibri"/>
                <w:b/>
                <w:color w:val="000000"/>
              </w:rPr>
              <w:t xml:space="preserve">Preferred </w:t>
            </w:r>
            <w:r w:rsidR="00AF014F" w:rsidRPr="00363AEF">
              <w:rPr>
                <w:rFonts w:ascii="Calibri" w:hAnsi="Calibri"/>
                <w:b/>
                <w:color w:val="000000"/>
              </w:rPr>
              <w:t>Alternative 11</w:t>
            </w:r>
          </w:p>
        </w:tc>
        <w:tc>
          <w:tcPr>
            <w:tcW w:w="1620" w:type="dxa"/>
            <w:tcBorders>
              <w:top w:val="nil"/>
              <w:left w:val="single" w:sz="4" w:space="0" w:color="auto"/>
              <w:bottom w:val="nil"/>
              <w:right w:val="single" w:sz="4" w:space="0" w:color="auto"/>
            </w:tcBorders>
            <w:shd w:val="clear" w:color="auto" w:fill="auto"/>
            <w:noWrap/>
            <w:vAlign w:val="center"/>
          </w:tcPr>
          <w:p w:rsidR="00AF014F" w:rsidRPr="00A77B61" w:rsidRDefault="00AF014F" w:rsidP="00363AEF">
            <w:pPr>
              <w:rPr>
                <w:rFonts w:ascii="Calibri" w:hAnsi="Calibri"/>
                <w:color w:val="000000"/>
              </w:rPr>
            </w:pPr>
            <w:r>
              <w:rPr>
                <w:rFonts w:ascii="Calibri" w:hAnsi="Calibri"/>
                <w:color w:val="000000"/>
              </w:rPr>
              <w:t>12/18 – 12/28</w:t>
            </w:r>
          </w:p>
        </w:tc>
        <w:tc>
          <w:tcPr>
            <w:tcW w:w="1620" w:type="dxa"/>
            <w:tcBorders>
              <w:top w:val="nil"/>
              <w:left w:val="nil"/>
              <w:bottom w:val="nil"/>
              <w:right w:val="nil"/>
            </w:tcBorders>
            <w:shd w:val="clear" w:color="auto" w:fill="auto"/>
            <w:noWrap/>
            <w:vAlign w:val="center"/>
          </w:tcPr>
          <w:p w:rsidR="00AF014F" w:rsidRPr="00A77B61" w:rsidRDefault="00AF014F" w:rsidP="00363AEF">
            <w:pPr>
              <w:rPr>
                <w:rFonts w:ascii="Calibri" w:hAnsi="Calibri"/>
                <w:color w:val="000000"/>
              </w:rPr>
            </w:pPr>
            <w:r>
              <w:rPr>
                <w:rFonts w:ascii="Calibri" w:hAnsi="Calibri"/>
                <w:color w:val="000000"/>
              </w:rPr>
              <w:t>12/3 -12/18</w:t>
            </w:r>
          </w:p>
        </w:tc>
        <w:tc>
          <w:tcPr>
            <w:tcW w:w="1620" w:type="dxa"/>
            <w:tcBorders>
              <w:top w:val="nil"/>
              <w:left w:val="single" w:sz="4" w:space="0" w:color="auto"/>
              <w:bottom w:val="nil"/>
              <w:right w:val="single" w:sz="4" w:space="0" w:color="auto"/>
            </w:tcBorders>
            <w:shd w:val="clear" w:color="auto" w:fill="auto"/>
            <w:noWrap/>
            <w:vAlign w:val="center"/>
          </w:tcPr>
          <w:p w:rsidR="00AF014F" w:rsidRPr="00A77B61" w:rsidRDefault="00AF014F" w:rsidP="00363AEF">
            <w:pPr>
              <w:rPr>
                <w:rFonts w:ascii="Calibri" w:hAnsi="Calibri"/>
                <w:color w:val="000000"/>
              </w:rPr>
            </w:pPr>
            <w:r>
              <w:rPr>
                <w:rFonts w:ascii="Calibri" w:hAnsi="Calibri"/>
                <w:color w:val="000000"/>
              </w:rPr>
              <w:t>12/6 – 12/13</w:t>
            </w:r>
          </w:p>
        </w:tc>
        <w:tc>
          <w:tcPr>
            <w:tcW w:w="1620" w:type="dxa"/>
            <w:tcBorders>
              <w:top w:val="nil"/>
              <w:left w:val="nil"/>
              <w:bottom w:val="nil"/>
              <w:right w:val="single" w:sz="4" w:space="0" w:color="auto"/>
            </w:tcBorders>
            <w:shd w:val="clear" w:color="auto" w:fill="auto"/>
            <w:noWrap/>
            <w:vAlign w:val="center"/>
          </w:tcPr>
          <w:p w:rsidR="00AF014F" w:rsidRPr="00A77B61" w:rsidRDefault="00AF014F" w:rsidP="00363AEF">
            <w:pPr>
              <w:rPr>
                <w:rFonts w:ascii="Calibri" w:hAnsi="Calibri"/>
                <w:color w:val="000000"/>
              </w:rPr>
            </w:pPr>
            <w:r>
              <w:rPr>
                <w:rFonts w:ascii="Calibri" w:hAnsi="Calibri"/>
                <w:color w:val="000000"/>
              </w:rPr>
              <w:t>12/17 – 12/27</w:t>
            </w:r>
          </w:p>
        </w:tc>
      </w:tr>
      <w:tr w:rsidR="00AF014F" w:rsidRPr="00A77B61" w:rsidTr="00AF014F">
        <w:trPr>
          <w:trHeight w:val="300"/>
        </w:trPr>
        <w:tc>
          <w:tcPr>
            <w:tcW w:w="2085" w:type="dxa"/>
            <w:tcBorders>
              <w:top w:val="nil"/>
              <w:left w:val="single" w:sz="4" w:space="0" w:color="auto"/>
              <w:bottom w:val="single" w:sz="4" w:space="0" w:color="auto"/>
              <w:right w:val="single" w:sz="4" w:space="0" w:color="auto"/>
            </w:tcBorders>
            <w:shd w:val="clear" w:color="000000" w:fill="C5D9F1"/>
            <w:noWrap/>
            <w:vAlign w:val="bottom"/>
          </w:tcPr>
          <w:p w:rsidR="00AF014F" w:rsidRPr="00A77B61" w:rsidRDefault="00AF014F" w:rsidP="00AF014F">
            <w:pPr>
              <w:rPr>
                <w:rFonts w:ascii="Calibri" w:hAnsi="Calibri"/>
                <w:color w:val="000000"/>
              </w:rPr>
            </w:pPr>
            <w:r>
              <w:rPr>
                <w:rFonts w:ascii="Calibri" w:hAnsi="Calibri"/>
                <w:color w:val="000000"/>
              </w:rPr>
              <w:t>Alternative 12</w:t>
            </w:r>
          </w:p>
        </w:tc>
        <w:tc>
          <w:tcPr>
            <w:tcW w:w="1620" w:type="dxa"/>
            <w:tcBorders>
              <w:top w:val="nil"/>
              <w:left w:val="nil"/>
              <w:bottom w:val="single" w:sz="4" w:space="0" w:color="auto"/>
              <w:right w:val="single" w:sz="4" w:space="0" w:color="auto"/>
            </w:tcBorders>
            <w:shd w:val="clear" w:color="auto" w:fill="auto"/>
            <w:noWrap/>
            <w:vAlign w:val="bottom"/>
          </w:tcPr>
          <w:p w:rsidR="00AF014F" w:rsidRPr="00A77B61" w:rsidRDefault="00AF014F" w:rsidP="00AF014F">
            <w:pPr>
              <w:rPr>
                <w:rFonts w:ascii="Calibri" w:hAnsi="Calibri"/>
                <w:color w:val="000000"/>
              </w:rPr>
            </w:pPr>
            <w:r>
              <w:rPr>
                <w:rFonts w:ascii="Calibri" w:hAnsi="Calibri"/>
                <w:color w:val="000000"/>
              </w:rPr>
              <w:t>12/15 – 12/23</w:t>
            </w:r>
          </w:p>
        </w:tc>
        <w:tc>
          <w:tcPr>
            <w:tcW w:w="1620" w:type="dxa"/>
            <w:tcBorders>
              <w:top w:val="nil"/>
              <w:left w:val="nil"/>
              <w:bottom w:val="single" w:sz="4" w:space="0" w:color="auto"/>
              <w:right w:val="nil"/>
            </w:tcBorders>
            <w:shd w:val="clear" w:color="auto" w:fill="auto"/>
            <w:noWrap/>
            <w:vAlign w:val="bottom"/>
          </w:tcPr>
          <w:p w:rsidR="00AF014F" w:rsidRPr="00A77B61" w:rsidRDefault="00AF014F" w:rsidP="00AF014F">
            <w:pPr>
              <w:rPr>
                <w:rFonts w:ascii="Calibri" w:hAnsi="Calibri"/>
                <w:color w:val="000000"/>
              </w:rPr>
            </w:pPr>
            <w:r>
              <w:rPr>
                <w:rFonts w:ascii="Calibri" w:hAnsi="Calibri"/>
                <w:color w:val="000000"/>
              </w:rPr>
              <w:t>11/21 – 12/10</w:t>
            </w:r>
          </w:p>
        </w:tc>
        <w:tc>
          <w:tcPr>
            <w:tcW w:w="1620" w:type="dxa"/>
            <w:tcBorders>
              <w:top w:val="nil"/>
              <w:left w:val="single" w:sz="4" w:space="0" w:color="auto"/>
              <w:bottom w:val="single" w:sz="4" w:space="0" w:color="auto"/>
              <w:right w:val="single" w:sz="4" w:space="0" w:color="auto"/>
            </w:tcBorders>
            <w:shd w:val="clear" w:color="auto" w:fill="auto"/>
            <w:noWrap/>
            <w:vAlign w:val="bottom"/>
          </w:tcPr>
          <w:p w:rsidR="00AF014F" w:rsidRPr="00A77B61" w:rsidRDefault="00AF014F" w:rsidP="00AF014F">
            <w:pPr>
              <w:rPr>
                <w:rFonts w:ascii="Calibri" w:hAnsi="Calibri"/>
                <w:color w:val="000000"/>
              </w:rPr>
            </w:pPr>
            <w:r>
              <w:rPr>
                <w:rFonts w:ascii="Calibri" w:hAnsi="Calibri"/>
                <w:color w:val="000000"/>
              </w:rPr>
              <w:t>12/5 – 12/11</w:t>
            </w:r>
          </w:p>
        </w:tc>
        <w:tc>
          <w:tcPr>
            <w:tcW w:w="1620" w:type="dxa"/>
            <w:tcBorders>
              <w:top w:val="nil"/>
              <w:left w:val="nil"/>
              <w:bottom w:val="single" w:sz="4" w:space="0" w:color="auto"/>
              <w:right w:val="single" w:sz="4" w:space="0" w:color="auto"/>
            </w:tcBorders>
            <w:shd w:val="clear" w:color="auto" w:fill="auto"/>
            <w:noWrap/>
            <w:vAlign w:val="bottom"/>
          </w:tcPr>
          <w:p w:rsidR="00AF014F" w:rsidRPr="00A77B61" w:rsidRDefault="00AF014F" w:rsidP="00AF014F">
            <w:pPr>
              <w:rPr>
                <w:rFonts w:ascii="Calibri" w:hAnsi="Calibri"/>
                <w:color w:val="000000"/>
              </w:rPr>
            </w:pPr>
            <w:r>
              <w:rPr>
                <w:rFonts w:ascii="Calibri" w:hAnsi="Calibri"/>
                <w:color w:val="000000"/>
              </w:rPr>
              <w:t>12/14 – 12/22</w:t>
            </w:r>
          </w:p>
        </w:tc>
      </w:tr>
    </w:tbl>
    <w:p w:rsidR="00AF014F" w:rsidRDefault="00AF014F" w:rsidP="00AF014F">
      <w:pPr>
        <w:ind w:firstLine="360"/>
      </w:pPr>
    </w:p>
    <w:p w:rsidR="00AF014F" w:rsidRPr="00280CD2" w:rsidRDefault="00AF014F" w:rsidP="00AF014F">
      <w:pPr>
        <w:rPr>
          <w:u w:val="single"/>
        </w:rPr>
      </w:pPr>
      <w:r>
        <w:rPr>
          <w:u w:val="single"/>
        </w:rPr>
        <w:t>Protected Resources</w:t>
      </w:r>
    </w:p>
    <w:p w:rsidR="00AF014F" w:rsidRPr="00626036" w:rsidRDefault="00AF014F" w:rsidP="00AF014F">
      <w:pPr>
        <w:ind w:firstLine="360"/>
        <w:rPr>
          <w:rFonts w:eastAsia="Calibri"/>
        </w:rPr>
      </w:pPr>
      <w:r>
        <w:rPr>
          <w:rFonts w:eastAsia="Calibri"/>
        </w:rPr>
        <w:t>E</w:t>
      </w:r>
      <w:r w:rsidRPr="00527775">
        <w:rPr>
          <w:rFonts w:eastAsia="Calibri"/>
        </w:rPr>
        <w:t xml:space="preserve">ntanglement in fixed fishing gear is </w:t>
      </w:r>
      <w:r>
        <w:rPr>
          <w:rFonts w:eastAsia="Calibri"/>
        </w:rPr>
        <w:t>a</w:t>
      </w:r>
      <w:r w:rsidRPr="00527775">
        <w:rPr>
          <w:rFonts w:eastAsia="Calibri"/>
        </w:rPr>
        <w:t xml:space="preserve"> leading cause of right whale mortality (Knowlton </w:t>
      </w:r>
      <w:r w:rsidRPr="003F74F5">
        <w:rPr>
          <w:rFonts w:eastAsia="Calibri"/>
        </w:rPr>
        <w:t>et al.</w:t>
      </w:r>
      <w:r w:rsidRPr="00527775">
        <w:rPr>
          <w:rFonts w:eastAsia="Calibri"/>
        </w:rPr>
        <w:t xml:space="preserve"> 2012).  </w:t>
      </w:r>
      <w:r>
        <w:t>Rope from trap/pot gear was more frequently found on entangled right whales than rope associated with gillnets when gear from entangled whales could be identified (Johnson et al. 2005)</w:t>
      </w:r>
      <w:r w:rsidRPr="00B74D23">
        <w:rPr>
          <w:rFonts w:eastAsia="Calibri"/>
        </w:rPr>
        <w:t xml:space="preserve">.  </w:t>
      </w:r>
      <w:r w:rsidRPr="00031CCC">
        <w:rPr>
          <w:color w:val="000000"/>
        </w:rPr>
        <w:t>Knowlton et al</w:t>
      </w:r>
      <w:r w:rsidRPr="00821B59">
        <w:rPr>
          <w:color w:val="000000"/>
        </w:rPr>
        <w:t>. (2012</w:t>
      </w:r>
      <w:r w:rsidRPr="00031CCC">
        <w:rPr>
          <w:color w:val="000000"/>
        </w:rPr>
        <w:t xml:space="preserve">) </w:t>
      </w:r>
      <w:r>
        <w:rPr>
          <w:color w:val="000000"/>
        </w:rPr>
        <w:t>report</w:t>
      </w:r>
      <w:r w:rsidRPr="00031CCC">
        <w:rPr>
          <w:color w:val="000000"/>
        </w:rPr>
        <w:t xml:space="preserve"> that approximately 83% of all right whales have been entangled at least </w:t>
      </w:r>
      <w:proofErr w:type="gramStart"/>
      <w:r w:rsidRPr="00031CCC">
        <w:rPr>
          <w:color w:val="000000"/>
        </w:rPr>
        <w:t>once,</w:t>
      </w:r>
      <w:proofErr w:type="gramEnd"/>
      <w:r w:rsidRPr="00031CCC">
        <w:rPr>
          <w:color w:val="000000"/>
        </w:rPr>
        <w:t xml:space="preserve"> and 60% of those animals had been entangled multiple times.  The authors further clarify that this is a minimum estimate (Knowlton et al. 2012).</w:t>
      </w:r>
      <w:r>
        <w:rPr>
          <w:color w:val="000000"/>
        </w:rPr>
        <w:t xml:space="preserve">  </w:t>
      </w:r>
      <w:r w:rsidRPr="00B74D23">
        <w:rPr>
          <w:rFonts w:eastAsia="Calibri"/>
        </w:rPr>
        <w:t>Based on the</w:t>
      </w:r>
      <w:r>
        <w:rPr>
          <w:rFonts w:eastAsia="Calibri"/>
        </w:rPr>
        <w:t xml:space="preserve"> current known information about </w:t>
      </w:r>
      <w:r>
        <w:t>North Atlantic right and humpback whales</w:t>
      </w:r>
      <w:r w:rsidRPr="002D0E88">
        <w:rPr>
          <w:b/>
        </w:rPr>
        <w:t xml:space="preserve"> </w:t>
      </w:r>
      <w:r w:rsidRPr="002D41CC">
        <w:t xml:space="preserve">in the </w:t>
      </w:r>
      <w:r w:rsidRPr="002D41CC">
        <w:rPr>
          <w:rFonts w:ascii="Times" w:hAnsi="Times"/>
        </w:rPr>
        <w:t>southeastern</w:t>
      </w:r>
      <w:r w:rsidRPr="002D0E88">
        <w:rPr>
          <w:rFonts w:ascii="Times" w:hAnsi="Times"/>
        </w:rPr>
        <w:t xml:space="preserve"> </w:t>
      </w:r>
      <w:r>
        <w:rPr>
          <w:rFonts w:ascii="Times" w:hAnsi="Times"/>
        </w:rPr>
        <w:t>United States,</w:t>
      </w:r>
      <w:r w:rsidRPr="002D0E88">
        <w:rPr>
          <w:rFonts w:ascii="Times" w:hAnsi="Times"/>
        </w:rPr>
        <w:t xml:space="preserve"> </w:t>
      </w:r>
      <w:r w:rsidRPr="002D0E88">
        <w:rPr>
          <w:b/>
        </w:rPr>
        <w:t xml:space="preserve">Alternative 1 (No Action) </w:t>
      </w:r>
      <w:r w:rsidRPr="002D41CC">
        <w:t xml:space="preserve">removes temporal and spatial overlap </w:t>
      </w:r>
      <w:r w:rsidRPr="002D41CC">
        <w:lastRenderedPageBreak/>
        <w:t>between the</w:t>
      </w:r>
      <w:r>
        <w:rPr>
          <w:b/>
        </w:rPr>
        <w:t xml:space="preserve"> </w:t>
      </w:r>
      <w:r>
        <w:t xml:space="preserve">black sea bass pot fishery and these species; </w:t>
      </w:r>
      <w:r w:rsidRPr="002D0E88">
        <w:t>essentially eliminat</w:t>
      </w:r>
      <w:r>
        <w:t>ing</w:t>
      </w:r>
      <w:r w:rsidRPr="002D0E88">
        <w:t xml:space="preserve"> entanglement </w:t>
      </w:r>
      <w:r>
        <w:t>risk</w:t>
      </w:r>
      <w:r w:rsidRPr="002D0E88">
        <w:t>.</w:t>
      </w:r>
      <w:r w:rsidRPr="00A27E99">
        <w:t xml:space="preserve">  </w:t>
      </w:r>
      <w:r>
        <w:t xml:space="preserve">Maintaining status quo ensures that no black sea bass trap lines will be in the water when ESA-listed large whales are likely to be in or transiting through waters under the SAFMC’s jurisdiction.  </w:t>
      </w:r>
    </w:p>
    <w:p w:rsidR="00AF014F" w:rsidRDefault="00AF014F" w:rsidP="00AF014F">
      <w:pPr>
        <w:ind w:firstLine="360"/>
        <w:rPr>
          <w:rFonts w:ascii="Times" w:hAnsi="Times"/>
        </w:rPr>
      </w:pPr>
    </w:p>
    <w:p w:rsidR="00AF014F" w:rsidRPr="00F13301" w:rsidRDefault="00AF014F" w:rsidP="00AF014F">
      <w:pPr>
        <w:ind w:firstLine="360"/>
        <w:rPr>
          <w:rFonts w:cs="Times New Roman"/>
        </w:rPr>
      </w:pPr>
      <w:r w:rsidRPr="00D073BA">
        <w:rPr>
          <w:rFonts w:cs="Times New Roman"/>
          <w:b/>
        </w:rPr>
        <w:t>Alternative 2</w:t>
      </w:r>
      <w:r w:rsidRPr="00D073BA">
        <w:rPr>
          <w:rFonts w:cs="Times New Roman"/>
        </w:rPr>
        <w:t xml:space="preserve"> introduces the greatest amount of entanglement risk relative to all the other alternatives.  The </w:t>
      </w:r>
      <w:r w:rsidRPr="00C3232C">
        <w:rPr>
          <w:rFonts w:cs="Times New Roman"/>
        </w:rPr>
        <w:t xml:space="preserve">SERO-LAPP-2014-09 analysis indicates a </w:t>
      </w:r>
      <w:r w:rsidRPr="00D073BA">
        <w:rPr>
          <w:rFonts w:cs="Times New Roman"/>
        </w:rPr>
        <w:t xml:space="preserve">very high increase in entanglement risk for right whales off North Carolina and from South Carolina to Florida for </w:t>
      </w:r>
      <w:r w:rsidRPr="00D073BA">
        <w:rPr>
          <w:rFonts w:cs="Times New Roman"/>
          <w:b/>
        </w:rPr>
        <w:t>Alternative 2</w:t>
      </w:r>
      <w:r w:rsidRPr="00D073BA">
        <w:rPr>
          <w:rFonts w:cs="Times New Roman"/>
        </w:rPr>
        <w:t>, relative to</w:t>
      </w:r>
      <w:r w:rsidRPr="00D073BA">
        <w:rPr>
          <w:rFonts w:cs="Times New Roman"/>
          <w:b/>
        </w:rPr>
        <w:t xml:space="preserve"> Alternative 1 (No Action)</w:t>
      </w:r>
      <w:r w:rsidRPr="00D073BA">
        <w:rPr>
          <w:rFonts w:cs="Times New Roman"/>
        </w:rPr>
        <w:t xml:space="preserve">.  The very high relative risk associated with </w:t>
      </w:r>
      <w:r w:rsidRPr="00D073BA">
        <w:rPr>
          <w:rFonts w:cs="Times New Roman"/>
          <w:b/>
        </w:rPr>
        <w:t>Alternative 2</w:t>
      </w:r>
      <w:r w:rsidRPr="00D073BA">
        <w:rPr>
          <w:rFonts w:cs="Times New Roman"/>
        </w:rPr>
        <w:t xml:space="preserve"> is because predicted North Atlantic right whale presence is high outside of the spatial boundaries of </w:t>
      </w:r>
      <w:r w:rsidRPr="00D073BA">
        <w:rPr>
          <w:rFonts w:cs="Times New Roman"/>
          <w:b/>
        </w:rPr>
        <w:t>Alternative 2</w:t>
      </w:r>
      <w:r w:rsidRPr="00D073BA">
        <w:rPr>
          <w:rFonts w:cs="Times New Roman"/>
        </w:rPr>
        <w:t xml:space="preserve">.  </w:t>
      </w:r>
      <w:r w:rsidRPr="00D073BA">
        <w:rPr>
          <w:rFonts w:cs="Times New Roman"/>
          <w:b/>
        </w:rPr>
        <w:t>Alternative 2</w:t>
      </w:r>
      <w:r w:rsidRPr="00D073BA">
        <w:rPr>
          <w:rFonts w:cs="Times New Roman"/>
        </w:rPr>
        <w:t xml:space="preserve"> is based on the currently designated North Atlantic right whale critical</w:t>
      </w:r>
      <w:r w:rsidR="000242E5" w:rsidRPr="00D073BA">
        <w:rPr>
          <w:rFonts w:cs="Times New Roman"/>
        </w:rPr>
        <w:fldChar w:fldCharType="begin"/>
      </w:r>
      <w:r w:rsidRPr="00C3232C">
        <w:rPr>
          <w:rFonts w:cs="Times New Roman"/>
        </w:rPr>
        <w:instrText xml:space="preserve"> XE "</w:instrText>
      </w:r>
      <w:r w:rsidRPr="00D073BA">
        <w:rPr>
          <w:rStyle w:val="Heading3Char"/>
          <w:rFonts w:ascii="Times New Roman" w:eastAsiaTheme="minorHAnsi" w:hAnsi="Times New Roman" w:cs="Times New Roman"/>
          <w:b w:val="0"/>
          <w:szCs w:val="24"/>
        </w:rPr>
        <w:instrText>North Atlantic right whale critical</w:instrText>
      </w:r>
      <w:r w:rsidRPr="00C3232C">
        <w:rPr>
          <w:rFonts w:cs="Times New Roman"/>
        </w:rPr>
        <w:instrText xml:space="preserve">" </w:instrText>
      </w:r>
      <w:r w:rsidR="000242E5" w:rsidRPr="00D073BA">
        <w:rPr>
          <w:rFonts w:cs="Times New Roman"/>
        </w:rPr>
        <w:fldChar w:fldCharType="end"/>
      </w:r>
      <w:r w:rsidRPr="00D073BA">
        <w:rPr>
          <w:rFonts w:cs="Times New Roman"/>
        </w:rPr>
        <w:t xml:space="preserve"> habitat, designated in the 1994.  </w:t>
      </w:r>
      <w:r w:rsidRPr="00C3232C">
        <w:rPr>
          <w:rFonts w:cs="Times New Roman"/>
        </w:rPr>
        <w:t xml:space="preserve">This area was originally based on 303 sightings from 1950-1989.  </w:t>
      </w:r>
      <w:r w:rsidRPr="00D073BA">
        <w:rPr>
          <w:rFonts w:cs="Times New Roman"/>
        </w:rPr>
        <w:t>In the 20+ years since designation, the understanding of where North Atlantic right whales occur, or are most likely to occur, in southeastern United States has grown significantly</w:t>
      </w:r>
      <w:r w:rsidRPr="00C3232C">
        <w:rPr>
          <w:rFonts w:cs="Times New Roman"/>
        </w:rPr>
        <w:t xml:space="preserve">.  </w:t>
      </w:r>
      <w:r w:rsidRPr="00C3232C">
        <w:rPr>
          <w:rFonts w:cs="Times New Roman"/>
          <w:color w:val="222222"/>
          <w:shd w:val="clear" w:color="auto" w:fill="FFFFFF"/>
        </w:rPr>
        <w:t>North Atlantic right whale critical habitat is currently undergoing a revisi</w:t>
      </w:r>
      <w:r w:rsidRPr="004570B3">
        <w:rPr>
          <w:rFonts w:cs="Times New Roman"/>
          <w:color w:val="222222"/>
          <w:shd w:val="clear" w:color="auto" w:fill="FFFFFF"/>
        </w:rPr>
        <w:t>on based on more current data.  A Notice of Proposed Rulemaking to modify North Atlantic right whale critical habi</w:t>
      </w:r>
      <w:r w:rsidRPr="00D63B53">
        <w:rPr>
          <w:rFonts w:cs="Times New Roman"/>
          <w:color w:val="222222"/>
          <w:shd w:val="clear" w:color="auto" w:fill="FFFFFF"/>
        </w:rPr>
        <w:t>tat was published in the Federal Register on February 20, 2015(</w:t>
      </w:r>
      <w:r w:rsidRPr="002C2387">
        <w:rPr>
          <w:rFonts w:cs="Times New Roman"/>
          <w:shd w:val="clear" w:color="auto" w:fill="FFFFFF"/>
        </w:rPr>
        <w:t>80 FR 9314)</w:t>
      </w:r>
      <w:r w:rsidRPr="00F13301">
        <w:rPr>
          <w:rFonts w:cs="Times New Roman"/>
          <w:color w:val="222222"/>
          <w:shd w:val="clear" w:color="auto" w:fill="FFFFFF"/>
        </w:rPr>
        <w:t>.  </w:t>
      </w:r>
    </w:p>
    <w:p w:rsidR="00AF014F" w:rsidRDefault="00AF014F" w:rsidP="00AF014F">
      <w:pPr>
        <w:ind w:firstLine="360"/>
        <w:rPr>
          <w:rFonts w:ascii="Times" w:hAnsi="Times"/>
        </w:rPr>
      </w:pPr>
    </w:p>
    <w:p w:rsidR="00AF014F" w:rsidRPr="00D073BA" w:rsidRDefault="00AF014F" w:rsidP="00AF014F">
      <w:pPr>
        <w:ind w:firstLine="360"/>
        <w:rPr>
          <w:rFonts w:cs="Times New Roman"/>
        </w:rPr>
      </w:pPr>
      <w:r w:rsidRPr="00D073BA">
        <w:rPr>
          <w:rFonts w:cs="Times New Roman"/>
          <w:b/>
        </w:rPr>
        <w:t>Alternative 3</w:t>
      </w:r>
      <w:r w:rsidRPr="00D073BA">
        <w:rPr>
          <w:rFonts w:cs="Times New Roman"/>
        </w:rPr>
        <w:t xml:space="preserve"> would likely introduce less entanglement risk that most alternatives (i.e., </w:t>
      </w:r>
      <w:r w:rsidRPr="00D073BA">
        <w:rPr>
          <w:rFonts w:cs="Times New Roman"/>
          <w:b/>
        </w:rPr>
        <w:t xml:space="preserve">Alternative 2 </w:t>
      </w:r>
      <w:r w:rsidRPr="00D073BA">
        <w:rPr>
          <w:rFonts w:cs="Times New Roman"/>
        </w:rPr>
        <w:t xml:space="preserve">and </w:t>
      </w:r>
      <w:r w:rsidRPr="00D073BA">
        <w:rPr>
          <w:rFonts w:cs="Times New Roman"/>
          <w:b/>
        </w:rPr>
        <w:t xml:space="preserve">10 </w:t>
      </w:r>
      <w:r w:rsidRPr="00D073BA">
        <w:rPr>
          <w:rFonts w:cs="Times New Roman"/>
        </w:rPr>
        <w:t>and</w:t>
      </w:r>
      <w:r w:rsidRPr="00D073BA">
        <w:rPr>
          <w:rFonts w:cs="Times New Roman"/>
          <w:b/>
        </w:rPr>
        <w:t xml:space="preserve"> Sub-Alternatives 7a, 7b, 7c, 8a, 8b, 9a, </w:t>
      </w:r>
      <w:r w:rsidRPr="00D073BA">
        <w:rPr>
          <w:rFonts w:cs="Times New Roman"/>
        </w:rPr>
        <w:t xml:space="preserve">and </w:t>
      </w:r>
      <w:r w:rsidRPr="00D073BA">
        <w:rPr>
          <w:rFonts w:cs="Times New Roman"/>
          <w:b/>
        </w:rPr>
        <w:t>9b</w:t>
      </w:r>
      <w:r w:rsidRPr="00D073BA">
        <w:rPr>
          <w:rFonts w:cs="Times New Roman"/>
        </w:rPr>
        <w:t xml:space="preserve">), but introduce more entanglement risk than others (i.e., </w:t>
      </w:r>
      <w:r w:rsidRPr="00D073BA">
        <w:rPr>
          <w:rFonts w:cs="Times New Roman"/>
          <w:b/>
        </w:rPr>
        <w:t xml:space="preserve">Alternative 1 (No Action), 4, 5, </w:t>
      </w:r>
      <w:r w:rsidRPr="00D073BA">
        <w:rPr>
          <w:rFonts w:cs="Times New Roman"/>
        </w:rPr>
        <w:t>and</w:t>
      </w:r>
      <w:r w:rsidRPr="00D073BA">
        <w:rPr>
          <w:rFonts w:cs="Times New Roman"/>
          <w:b/>
        </w:rPr>
        <w:t xml:space="preserve"> 6)</w:t>
      </w:r>
      <w:r w:rsidRPr="00D073BA">
        <w:rPr>
          <w:rFonts w:cs="Times New Roman"/>
        </w:rPr>
        <w:t xml:space="preserve">.  The </w:t>
      </w:r>
      <w:r w:rsidRPr="00C3232C">
        <w:rPr>
          <w:rFonts w:cs="Times New Roman"/>
        </w:rPr>
        <w:t xml:space="preserve">SERO-LAPP-2014-09 analysis indicates a </w:t>
      </w:r>
      <w:r w:rsidRPr="00D073BA">
        <w:rPr>
          <w:rFonts w:cs="Times New Roman"/>
        </w:rPr>
        <w:t>low to moderate increased entanglement risk in right whales off North Carolina, for this alternative, relative to</w:t>
      </w:r>
      <w:r w:rsidRPr="00D073BA">
        <w:rPr>
          <w:rFonts w:cs="Times New Roman"/>
          <w:b/>
        </w:rPr>
        <w:t xml:space="preserve"> Alternative 1 (No Action)</w:t>
      </w:r>
      <w:r w:rsidRPr="00D073BA">
        <w:rPr>
          <w:rFonts w:cs="Times New Roman"/>
        </w:rPr>
        <w:t>.  However, that analysis indicates a low to high increased risk of entanglement</w:t>
      </w:r>
      <w:r w:rsidRPr="00D073BA">
        <w:rPr>
          <w:rFonts w:cs="Times New Roman"/>
          <w:b/>
        </w:rPr>
        <w:t xml:space="preserve"> </w:t>
      </w:r>
      <w:r w:rsidRPr="00D073BA">
        <w:rPr>
          <w:rFonts w:cs="Times New Roman"/>
        </w:rPr>
        <w:t>from South Carolina to Florida for this alternative, relative to</w:t>
      </w:r>
      <w:r w:rsidRPr="00D073BA">
        <w:rPr>
          <w:rFonts w:cs="Times New Roman"/>
          <w:b/>
        </w:rPr>
        <w:t xml:space="preserve"> Alternative 1 (No Action)</w:t>
      </w:r>
      <w:r w:rsidRPr="00D073BA">
        <w:rPr>
          <w:rFonts w:cs="Times New Roman"/>
        </w:rPr>
        <w:t xml:space="preserve">.  </w:t>
      </w:r>
      <w:r w:rsidRPr="00D073BA">
        <w:rPr>
          <w:rFonts w:cs="Times New Roman"/>
          <w:b/>
        </w:rPr>
        <w:t>Alternative 3</w:t>
      </w:r>
      <w:r w:rsidRPr="00D073BA">
        <w:rPr>
          <w:rFonts w:cs="Times New Roman"/>
        </w:rPr>
        <w:t xml:space="preserve"> considers the entire period when ESA-listed large whales may be in the southeastern United States (i.e., November 1 through April 30).  However, the increase in relative risk is likely because the area proposed in </w:t>
      </w:r>
      <w:r w:rsidRPr="00D073BA">
        <w:rPr>
          <w:rFonts w:cs="Times New Roman"/>
          <w:b/>
        </w:rPr>
        <w:t>Alternative 3</w:t>
      </w:r>
      <w:r w:rsidRPr="00D073BA">
        <w:rPr>
          <w:rFonts w:cs="Times New Roman"/>
        </w:rPr>
        <w:t xml:space="preserve"> is based on habitat features preferred by pregnant right whales and mother/calf pairs only (Good 2008, Keller et al. 2012).  It does not consider juveniles, non-reproducing adults, or account for the north/south migratory behavior of right whales (i.e., whales that may occur outside of predicted areas due to behavioral reasons).  Juvenile right whales are the age class most prone to entanglement and entangle at a higher rate (Knowlton et al. 2012).  </w:t>
      </w:r>
    </w:p>
    <w:p w:rsidR="00AF014F" w:rsidRDefault="00AF014F" w:rsidP="00AF014F">
      <w:pPr>
        <w:ind w:firstLine="360"/>
        <w:rPr>
          <w:rFonts w:ascii="Times" w:hAnsi="Times"/>
        </w:rPr>
      </w:pPr>
    </w:p>
    <w:p w:rsidR="00AF014F" w:rsidRPr="00D073BA" w:rsidRDefault="00AF014F" w:rsidP="00AF014F">
      <w:pPr>
        <w:ind w:firstLine="360"/>
        <w:rPr>
          <w:rFonts w:cs="Times New Roman"/>
        </w:rPr>
      </w:pPr>
      <w:r w:rsidRPr="00D073BA">
        <w:rPr>
          <w:rFonts w:cs="Times New Roman"/>
          <w:b/>
        </w:rPr>
        <w:t>Alternative 4</w:t>
      </w:r>
      <w:r w:rsidRPr="00D073BA">
        <w:rPr>
          <w:rFonts w:cs="Times New Roman"/>
        </w:rPr>
        <w:t xml:space="preserve"> likely introduces relatively little entanglement risk relative to almost all of the alternatives.  Only </w:t>
      </w:r>
      <w:r w:rsidRPr="00D073BA">
        <w:rPr>
          <w:rFonts w:cs="Times New Roman"/>
          <w:b/>
        </w:rPr>
        <w:t xml:space="preserve">Alternative 1 (No Action) </w:t>
      </w:r>
      <w:r w:rsidRPr="00D073BA">
        <w:rPr>
          <w:rFonts w:cs="Times New Roman"/>
        </w:rPr>
        <w:t>and</w:t>
      </w:r>
      <w:r w:rsidRPr="00D073BA">
        <w:rPr>
          <w:rFonts w:cs="Times New Roman"/>
          <w:b/>
        </w:rPr>
        <w:t xml:space="preserve"> Alternative 6</w:t>
      </w:r>
      <w:r w:rsidRPr="00D073BA">
        <w:rPr>
          <w:rFonts w:cs="Times New Roman"/>
        </w:rPr>
        <w:t xml:space="preserve"> would introduce less entanglement risk than </w:t>
      </w:r>
      <w:r w:rsidRPr="00D073BA">
        <w:rPr>
          <w:rFonts w:cs="Times New Roman"/>
          <w:b/>
        </w:rPr>
        <w:t>Alternative 4</w:t>
      </w:r>
      <w:r w:rsidRPr="00D073BA">
        <w:rPr>
          <w:rFonts w:cs="Times New Roman"/>
        </w:rPr>
        <w:t xml:space="preserve">.  The </w:t>
      </w:r>
      <w:r w:rsidRPr="00C3232C">
        <w:rPr>
          <w:rFonts w:cs="Times New Roman"/>
        </w:rPr>
        <w:t xml:space="preserve">SERO-LAPP-2014-09 analysis indicates a </w:t>
      </w:r>
      <w:r w:rsidRPr="00D073BA">
        <w:rPr>
          <w:rFonts w:cs="Times New Roman"/>
        </w:rPr>
        <w:t>low increased risk of entanglement both off North Carolina and from South Carolina to Florida, for this alternative, relative to</w:t>
      </w:r>
      <w:r w:rsidRPr="00D073BA">
        <w:rPr>
          <w:rFonts w:cs="Times New Roman"/>
          <w:b/>
        </w:rPr>
        <w:t xml:space="preserve"> Alternative 1 (No Action)</w:t>
      </w:r>
      <w:r w:rsidRPr="00D073BA">
        <w:rPr>
          <w:rFonts w:cs="Times New Roman"/>
        </w:rPr>
        <w:t>.  The area proposed under this alternative is based on bathymetry</w:t>
      </w:r>
      <w:r w:rsidR="00C81BEB" w:rsidRPr="00D073BA">
        <w:rPr>
          <w:rFonts w:cs="Times New Roman"/>
        </w:rPr>
        <w:t>;</w:t>
      </w:r>
      <w:r w:rsidRPr="00D073BA">
        <w:rPr>
          <w:rFonts w:cs="Times New Roman"/>
        </w:rPr>
        <w:t xml:space="preserve"> 2005/06-2012/13 right whale Early Warning System data</w:t>
      </w:r>
      <w:r w:rsidR="00C81BEB" w:rsidRPr="00D073BA">
        <w:rPr>
          <w:rFonts w:cs="Times New Roman"/>
        </w:rPr>
        <w:t>;</w:t>
      </w:r>
      <w:r w:rsidRPr="00D073BA">
        <w:rPr>
          <w:rFonts w:cs="Times New Roman"/>
        </w:rPr>
        <w:t xml:space="preserve"> South Carolina/Georgia aerial survey data</w:t>
      </w:r>
      <w:r w:rsidR="00C81BEB" w:rsidRPr="00D073BA">
        <w:rPr>
          <w:rFonts w:cs="Times New Roman"/>
        </w:rPr>
        <w:t>;</w:t>
      </w:r>
      <w:r w:rsidRPr="00D073BA">
        <w:rPr>
          <w:rFonts w:cs="Times New Roman"/>
        </w:rPr>
        <w:t xml:space="preserve"> and 2001/02, 2005/06, and 2006/07 surveys by the University of North Carolina-Wilmington (Garrison 2014).  These data sources are more expansive and recent than those used to develop the area proposed in </w:t>
      </w:r>
      <w:r w:rsidRPr="00D073BA">
        <w:rPr>
          <w:rFonts w:cs="Times New Roman"/>
          <w:b/>
        </w:rPr>
        <w:t>Alternative 3</w:t>
      </w:r>
      <w:r w:rsidRPr="00D073BA">
        <w:rPr>
          <w:rFonts w:cs="Times New Roman"/>
        </w:rPr>
        <w:t xml:space="preserve">.  These newer data sources are particularly more robust off the state of South Carolina, and include all right whale demographic segments (i.e., mother/calf pairs, pregnant females, non-reproducing </w:t>
      </w:r>
      <w:r w:rsidRPr="00D073BA">
        <w:rPr>
          <w:rFonts w:cs="Times New Roman"/>
        </w:rPr>
        <w:lastRenderedPageBreak/>
        <w:t xml:space="preserve">females, adult males, and juveniles).  This alternative considers the entire period when ESA-listed large whales may be in the southeastern United States (i.e., November 1 through April 30) and captures approximately 97% and 96% of right whale sightings in the North Carolina/South Carolina region and the Florida/Georgia region, respectively.  </w:t>
      </w:r>
    </w:p>
    <w:p w:rsidR="00AF014F" w:rsidRDefault="00AF014F" w:rsidP="00AF014F">
      <w:pPr>
        <w:ind w:firstLine="360"/>
        <w:rPr>
          <w:rFonts w:ascii="Times" w:hAnsi="Times"/>
        </w:rPr>
      </w:pPr>
    </w:p>
    <w:p w:rsidR="00AF014F" w:rsidRPr="00D073BA" w:rsidRDefault="00AF014F" w:rsidP="00AF014F">
      <w:pPr>
        <w:ind w:firstLine="360"/>
        <w:rPr>
          <w:rFonts w:cs="Times New Roman"/>
        </w:rPr>
      </w:pPr>
      <w:r w:rsidRPr="00D073BA">
        <w:rPr>
          <w:rFonts w:cs="Times New Roman"/>
          <w:b/>
        </w:rPr>
        <w:t>Alternative 5</w:t>
      </w:r>
      <w:r w:rsidRPr="00D073BA">
        <w:rPr>
          <w:rFonts w:cs="Times New Roman"/>
        </w:rPr>
        <w:t xml:space="preserve"> introduces less entanglement risk relative to most of the alternatives (i.e., </w:t>
      </w:r>
      <w:r w:rsidRPr="00D073BA">
        <w:rPr>
          <w:rFonts w:cs="Times New Roman"/>
          <w:b/>
        </w:rPr>
        <w:t xml:space="preserve">Alternatives 2, 3, </w:t>
      </w:r>
      <w:r w:rsidRPr="00D073BA">
        <w:rPr>
          <w:rFonts w:cs="Times New Roman"/>
        </w:rPr>
        <w:t>and</w:t>
      </w:r>
      <w:r w:rsidRPr="00D073BA">
        <w:rPr>
          <w:rFonts w:cs="Times New Roman"/>
          <w:b/>
        </w:rPr>
        <w:t xml:space="preserve"> 10 </w:t>
      </w:r>
      <w:r w:rsidRPr="00D073BA">
        <w:rPr>
          <w:rFonts w:cs="Times New Roman"/>
        </w:rPr>
        <w:t>and</w:t>
      </w:r>
      <w:r w:rsidRPr="00D073BA">
        <w:rPr>
          <w:rFonts w:cs="Times New Roman"/>
          <w:b/>
        </w:rPr>
        <w:t xml:space="preserve"> Sub-Alternatives 7a, 7b, 7c, 8a, 8b, 9a, </w:t>
      </w:r>
      <w:r w:rsidRPr="00D073BA">
        <w:rPr>
          <w:rFonts w:cs="Times New Roman"/>
        </w:rPr>
        <w:t>and</w:t>
      </w:r>
      <w:r w:rsidRPr="00D073BA">
        <w:rPr>
          <w:rFonts w:cs="Times New Roman"/>
          <w:b/>
        </w:rPr>
        <w:t xml:space="preserve"> 9b</w:t>
      </w:r>
      <w:r w:rsidRPr="00D073BA">
        <w:rPr>
          <w:rFonts w:cs="Times New Roman"/>
        </w:rPr>
        <w:t xml:space="preserve">) but more than others (i.e., </w:t>
      </w:r>
      <w:r w:rsidRPr="00D073BA">
        <w:rPr>
          <w:rFonts w:cs="Times New Roman"/>
          <w:b/>
        </w:rPr>
        <w:t>Alternatives 1 (No Action)</w:t>
      </w:r>
      <w:r w:rsidRPr="00D073BA">
        <w:rPr>
          <w:rFonts w:cs="Times New Roman"/>
        </w:rPr>
        <w:t xml:space="preserve">, </w:t>
      </w:r>
      <w:r w:rsidRPr="00D073BA">
        <w:rPr>
          <w:rFonts w:cs="Times New Roman"/>
          <w:b/>
        </w:rPr>
        <w:t xml:space="preserve">4, </w:t>
      </w:r>
      <w:r w:rsidRPr="00D073BA">
        <w:rPr>
          <w:rFonts w:cs="Times New Roman"/>
        </w:rPr>
        <w:t>and</w:t>
      </w:r>
      <w:r w:rsidRPr="00D073BA">
        <w:rPr>
          <w:rFonts w:cs="Times New Roman"/>
          <w:b/>
        </w:rPr>
        <w:t xml:space="preserve"> 6</w:t>
      </w:r>
      <w:r w:rsidRPr="00D073BA">
        <w:rPr>
          <w:rFonts w:cs="Times New Roman"/>
        </w:rPr>
        <w:t xml:space="preserve">).  The </w:t>
      </w:r>
      <w:r w:rsidRPr="00C3232C">
        <w:rPr>
          <w:rFonts w:cs="Times New Roman"/>
        </w:rPr>
        <w:t xml:space="preserve">SERO-LAPP-2014-09 analysis indicates a </w:t>
      </w:r>
      <w:r w:rsidRPr="00D073BA">
        <w:rPr>
          <w:rFonts w:cs="Times New Roman"/>
        </w:rPr>
        <w:t>low increased entanglement risk in right whales off North Carolina, for this alternative, relative to</w:t>
      </w:r>
      <w:r w:rsidRPr="00D073BA">
        <w:rPr>
          <w:rFonts w:cs="Times New Roman"/>
          <w:b/>
        </w:rPr>
        <w:t xml:space="preserve"> Alternative 1 (No Action)</w:t>
      </w:r>
      <w:r w:rsidRPr="00D073BA">
        <w:rPr>
          <w:rFonts w:cs="Times New Roman"/>
        </w:rPr>
        <w:t>.  However, that analysis indicates a low to high increased risk of entanglement</w:t>
      </w:r>
      <w:r w:rsidRPr="00D073BA">
        <w:rPr>
          <w:rFonts w:cs="Times New Roman"/>
          <w:b/>
        </w:rPr>
        <w:t xml:space="preserve"> </w:t>
      </w:r>
      <w:r w:rsidRPr="00D073BA">
        <w:rPr>
          <w:rFonts w:cs="Times New Roman"/>
        </w:rPr>
        <w:t>from South Carolina to Florida for this alternative, relative to</w:t>
      </w:r>
      <w:r w:rsidRPr="00D073BA">
        <w:rPr>
          <w:rFonts w:cs="Times New Roman"/>
          <w:b/>
        </w:rPr>
        <w:t xml:space="preserve"> Alternative 1 (No Action)</w:t>
      </w:r>
      <w:r w:rsidRPr="00D073BA">
        <w:rPr>
          <w:rFonts w:cs="Times New Roman"/>
        </w:rPr>
        <w:t xml:space="preserve">.  The area proposed off Florida/Georgia under this alternative is based on the </w:t>
      </w:r>
      <w:r w:rsidRPr="00C3232C">
        <w:rPr>
          <w:rFonts w:cs="Times New Roman"/>
        </w:rPr>
        <w:t xml:space="preserve">right whale calving habitat </w:t>
      </w:r>
      <w:r w:rsidRPr="00D073BA">
        <w:rPr>
          <w:rFonts w:cs="Times New Roman"/>
        </w:rPr>
        <w:t xml:space="preserve">model that is also the basis for </w:t>
      </w:r>
      <w:r w:rsidRPr="00D073BA">
        <w:rPr>
          <w:rFonts w:cs="Times New Roman"/>
          <w:b/>
        </w:rPr>
        <w:t>Alternative 3</w:t>
      </w:r>
      <w:r w:rsidRPr="00D073BA">
        <w:rPr>
          <w:rFonts w:cs="Times New Roman"/>
        </w:rPr>
        <w:t xml:space="preserve">.  </w:t>
      </w:r>
      <w:r w:rsidRPr="00C3232C">
        <w:rPr>
          <w:rFonts w:cs="Times New Roman"/>
        </w:rPr>
        <w:t>Off the coasts of North Carolina/South Carolina, the closure extends offshore 30 nautical mil</w:t>
      </w:r>
      <w:r w:rsidRPr="004570B3">
        <w:rPr>
          <w:rFonts w:cs="Times New Roman"/>
        </w:rPr>
        <w:t xml:space="preserve">es.  </w:t>
      </w:r>
      <w:r w:rsidRPr="00D073BA">
        <w:rPr>
          <w:rFonts w:cs="Times New Roman"/>
        </w:rPr>
        <w:t>This alternative considers the entire period when ESA-listed large whales may be in the southeastern United States (i.e., November 1 through April 30).  However, the increase in relative risk from South Carolina to Florida is the result of estimated commercial black sea bass pot gear effort south and east of the proposed area closure from St. Augustine to Cape Canaveral, Florida.  This alternative provides less protection in the core calving area because the protected area likely does not extend far enough into South Florida waters to capture the full extent of right whale occurrence based on updated information.</w:t>
      </w:r>
    </w:p>
    <w:p w:rsidR="00AF014F" w:rsidRDefault="00AF014F" w:rsidP="00AF014F">
      <w:pPr>
        <w:ind w:firstLine="360"/>
      </w:pPr>
    </w:p>
    <w:p w:rsidR="00AF014F" w:rsidRPr="00D073BA" w:rsidRDefault="00AF014F" w:rsidP="00AF014F">
      <w:pPr>
        <w:ind w:firstLine="360"/>
        <w:rPr>
          <w:rFonts w:cs="Times New Roman"/>
        </w:rPr>
      </w:pPr>
      <w:r w:rsidRPr="00D073BA">
        <w:rPr>
          <w:rFonts w:cs="Times New Roman"/>
          <w:b/>
        </w:rPr>
        <w:t>Alternative 6</w:t>
      </w:r>
      <w:r w:rsidRPr="00D073BA">
        <w:rPr>
          <w:rFonts w:cs="Times New Roman"/>
        </w:rPr>
        <w:t xml:space="preserve"> would likely introduce very little entanglement risk; only </w:t>
      </w:r>
      <w:r w:rsidRPr="00D073BA">
        <w:rPr>
          <w:rFonts w:cs="Times New Roman"/>
          <w:b/>
        </w:rPr>
        <w:t xml:space="preserve">Alternative 1 (No Action) </w:t>
      </w:r>
      <w:r w:rsidRPr="00D073BA">
        <w:rPr>
          <w:rFonts w:cs="Times New Roman"/>
        </w:rPr>
        <w:t>is expected to have lower entanglement risks</w:t>
      </w:r>
      <w:r w:rsidRPr="00D073BA">
        <w:rPr>
          <w:rFonts w:cs="Times New Roman"/>
          <w:b/>
        </w:rPr>
        <w:t>.</w:t>
      </w:r>
      <w:r w:rsidRPr="00D073BA">
        <w:rPr>
          <w:rFonts w:cs="Times New Roman"/>
        </w:rPr>
        <w:t xml:space="preserve">  The </w:t>
      </w:r>
      <w:r w:rsidRPr="00C3232C">
        <w:rPr>
          <w:rFonts w:cs="Times New Roman"/>
        </w:rPr>
        <w:t xml:space="preserve">SERO-LAPP-2014-09 analysis indicates a </w:t>
      </w:r>
      <w:r w:rsidRPr="00D073BA">
        <w:rPr>
          <w:rFonts w:cs="Times New Roman"/>
        </w:rPr>
        <w:t>low increased entanglement risk in right whales off North Carolina, and no increased risk from South Carolina to Florida for this alternative, relative to</w:t>
      </w:r>
      <w:r w:rsidRPr="00D073BA">
        <w:rPr>
          <w:rFonts w:cs="Times New Roman"/>
          <w:b/>
        </w:rPr>
        <w:t xml:space="preserve"> Alternative 1 (No Action)</w:t>
      </w:r>
      <w:r w:rsidRPr="00D073BA">
        <w:rPr>
          <w:rFonts w:cs="Times New Roman"/>
        </w:rPr>
        <w:t xml:space="preserve">.  </w:t>
      </w:r>
      <w:r w:rsidRPr="00D073BA">
        <w:rPr>
          <w:rStyle w:val="Heading3Char"/>
          <w:rFonts w:ascii="Times New Roman" w:eastAsiaTheme="minorHAnsi" w:hAnsi="Times New Roman" w:cs="Times New Roman"/>
          <w:b w:val="0"/>
        </w:rPr>
        <w:t>This</w:t>
      </w:r>
      <w:r w:rsidRPr="00C3232C">
        <w:rPr>
          <w:rFonts w:cs="Times New Roman"/>
        </w:rPr>
        <w:t xml:space="preserve"> area represents an existing federal </w:t>
      </w:r>
      <w:r w:rsidRPr="004570B3">
        <w:rPr>
          <w:rFonts w:cs="Times New Roman"/>
        </w:rPr>
        <w:t>management area, the Southeast Restricted Area for gillnets, under the Atlantic Large Whale Take Reduction Plan</w:t>
      </w:r>
      <w:r w:rsidR="000242E5" w:rsidRPr="00C3232C">
        <w:rPr>
          <w:rFonts w:cs="Times New Roman"/>
        </w:rPr>
        <w:fldChar w:fldCharType="begin"/>
      </w:r>
      <w:r w:rsidRPr="00C3232C">
        <w:rPr>
          <w:rFonts w:cs="Times New Roman"/>
        </w:rPr>
        <w:instrText xml:space="preserve"> XE "Atlantic Large Whale Take Reduction Plan" </w:instrText>
      </w:r>
      <w:r w:rsidR="000242E5" w:rsidRPr="00C3232C">
        <w:rPr>
          <w:rFonts w:cs="Times New Roman"/>
        </w:rPr>
        <w:fldChar w:fldCharType="end"/>
      </w:r>
      <w:r w:rsidRPr="00C3232C">
        <w:rPr>
          <w:rFonts w:cs="Times New Roman"/>
        </w:rPr>
        <w:t xml:space="preserve"> (ALWTRP); and an additional area off North Carolina. </w:t>
      </w:r>
      <w:r w:rsidRPr="004570B3">
        <w:rPr>
          <w:rFonts w:cs="Times New Roman"/>
        </w:rPr>
        <w:t xml:space="preserve"> </w:t>
      </w:r>
      <w:r w:rsidRPr="00D63B53">
        <w:rPr>
          <w:rFonts w:cs="Times New Roman"/>
          <w:color w:val="000000"/>
        </w:rPr>
        <w:t>The area off North Carol</w:t>
      </w:r>
      <w:r w:rsidRPr="002C2387">
        <w:rPr>
          <w:rFonts w:cs="Times New Roman"/>
          <w:color w:val="000000"/>
        </w:rPr>
        <w:t>ina includes waters shallower than 30 meters.</w:t>
      </w:r>
      <w:r w:rsidRPr="00F13301">
        <w:rPr>
          <w:rFonts w:cs="Times New Roman"/>
        </w:rPr>
        <w:t xml:space="preserve">  </w:t>
      </w:r>
      <w:r w:rsidRPr="00D073BA">
        <w:rPr>
          <w:rFonts w:cs="Times New Roman"/>
        </w:rPr>
        <w:t xml:space="preserve">This alternative considers the entire period when ESA-listed large whales may be in the southeastern United States (i.e., November 1 through April 30).  </w:t>
      </w:r>
      <w:r w:rsidRPr="00C3232C">
        <w:rPr>
          <w:rFonts w:cs="Times New Roman"/>
        </w:rPr>
        <w:t xml:space="preserve">This area </w:t>
      </w:r>
      <w:r w:rsidRPr="00D073BA">
        <w:rPr>
          <w:rFonts w:cs="Times New Roman"/>
        </w:rPr>
        <w:t>extends substantially further offshore of Florida and Georgia than areas included in other alternatives.  Thus, no increase in relative risk to right whales is anticipated off Florida and Georgia and a negligible increase in relative risk is projected off South Carolina.</w:t>
      </w:r>
    </w:p>
    <w:p w:rsidR="00AF014F" w:rsidRDefault="00AF014F" w:rsidP="00AF014F">
      <w:pPr>
        <w:ind w:firstLine="360"/>
      </w:pPr>
    </w:p>
    <w:p w:rsidR="00AF014F" w:rsidRPr="00D073BA" w:rsidRDefault="00AF014F" w:rsidP="00AF014F">
      <w:pPr>
        <w:ind w:firstLine="360"/>
        <w:rPr>
          <w:rFonts w:cs="Times New Roman"/>
        </w:rPr>
      </w:pPr>
      <w:r w:rsidRPr="00D073BA">
        <w:rPr>
          <w:rFonts w:cs="Times New Roman"/>
          <w:b/>
        </w:rPr>
        <w:t xml:space="preserve">Sub-Alternative 7a </w:t>
      </w:r>
      <w:r w:rsidRPr="00D073BA">
        <w:rPr>
          <w:rFonts w:cs="Times New Roman"/>
        </w:rPr>
        <w:t xml:space="preserve">is likely to introduce less entanglement risk than </w:t>
      </w:r>
      <w:r w:rsidRPr="00D073BA">
        <w:rPr>
          <w:rFonts w:cs="Times New Roman"/>
          <w:b/>
        </w:rPr>
        <w:t xml:space="preserve">Sub-Alternative 7b </w:t>
      </w:r>
      <w:r w:rsidRPr="00D073BA">
        <w:rPr>
          <w:rFonts w:cs="Times New Roman"/>
        </w:rPr>
        <w:t>or</w:t>
      </w:r>
      <w:r w:rsidRPr="00D073BA">
        <w:rPr>
          <w:rFonts w:cs="Times New Roman"/>
          <w:b/>
        </w:rPr>
        <w:t xml:space="preserve"> 7c, </w:t>
      </w:r>
      <w:r w:rsidRPr="00D073BA">
        <w:rPr>
          <w:rFonts w:cs="Times New Roman"/>
        </w:rPr>
        <w:t xml:space="preserve">as well as </w:t>
      </w:r>
      <w:r w:rsidRPr="00D073BA">
        <w:rPr>
          <w:rFonts w:cs="Times New Roman"/>
          <w:b/>
        </w:rPr>
        <w:t xml:space="preserve">Alternatives 2 </w:t>
      </w:r>
      <w:r w:rsidRPr="00D073BA">
        <w:rPr>
          <w:rFonts w:cs="Times New Roman"/>
        </w:rPr>
        <w:t xml:space="preserve">and </w:t>
      </w:r>
      <w:r w:rsidRPr="00D073BA">
        <w:rPr>
          <w:rFonts w:cs="Times New Roman"/>
          <w:b/>
        </w:rPr>
        <w:t xml:space="preserve">10 </w:t>
      </w:r>
      <w:r w:rsidRPr="00D073BA">
        <w:rPr>
          <w:rFonts w:cs="Times New Roman"/>
        </w:rPr>
        <w:t xml:space="preserve">and </w:t>
      </w:r>
      <w:r w:rsidRPr="00D073BA">
        <w:rPr>
          <w:rFonts w:cs="Times New Roman"/>
          <w:b/>
        </w:rPr>
        <w:t>Sub-Alternative 8b</w:t>
      </w:r>
      <w:r w:rsidRPr="00D073BA">
        <w:rPr>
          <w:rFonts w:cs="Times New Roman"/>
        </w:rPr>
        <w:t xml:space="preserve"> and</w:t>
      </w:r>
      <w:r w:rsidRPr="00D073BA">
        <w:rPr>
          <w:rFonts w:cs="Times New Roman"/>
          <w:b/>
        </w:rPr>
        <w:t xml:space="preserve"> 9b, </w:t>
      </w:r>
      <w:r w:rsidRPr="00D073BA">
        <w:rPr>
          <w:rFonts w:cs="Times New Roman"/>
        </w:rPr>
        <w:t xml:space="preserve">but would likely introduce more entanglement risk than the remaining alternatives.  The </w:t>
      </w:r>
      <w:r w:rsidRPr="00C3232C">
        <w:rPr>
          <w:rFonts w:cs="Times New Roman"/>
        </w:rPr>
        <w:t xml:space="preserve">SERO-LAPP-2014-09 analysis indicates a </w:t>
      </w:r>
      <w:r w:rsidRPr="00D073BA">
        <w:rPr>
          <w:rFonts w:cs="Times New Roman"/>
        </w:rPr>
        <w:t xml:space="preserve">high increased entanglement risk for right whales off North Carolina, and a very high increased risk of entanglement for right whales off from South Carolina to Florida for </w:t>
      </w:r>
      <w:r w:rsidRPr="00D073BA">
        <w:rPr>
          <w:rFonts w:cs="Times New Roman"/>
          <w:b/>
        </w:rPr>
        <w:t>Sub-Alternative 7a</w:t>
      </w:r>
      <w:r w:rsidRPr="00D073BA">
        <w:rPr>
          <w:rFonts w:cs="Times New Roman"/>
        </w:rPr>
        <w:t>, relative to</w:t>
      </w:r>
      <w:r w:rsidRPr="00D073BA">
        <w:rPr>
          <w:rFonts w:cs="Times New Roman"/>
          <w:b/>
        </w:rPr>
        <w:t xml:space="preserve"> Alternative 1 (No Action)</w:t>
      </w:r>
      <w:r w:rsidRPr="00D073BA">
        <w:rPr>
          <w:rFonts w:cs="Times New Roman"/>
        </w:rPr>
        <w:t xml:space="preserve">.  The </w:t>
      </w:r>
      <w:r w:rsidRPr="00C3232C">
        <w:rPr>
          <w:rFonts w:cs="Times New Roman"/>
        </w:rPr>
        <w:t xml:space="preserve">SERO-LAPP-2014-09 analysis indicates a high to very high increased risk of entanglement under </w:t>
      </w:r>
      <w:r w:rsidRPr="004570B3">
        <w:rPr>
          <w:rFonts w:cs="Times New Roman"/>
          <w:b/>
        </w:rPr>
        <w:t>Sub-Alternatives 7b</w:t>
      </w:r>
      <w:r w:rsidRPr="00D63B53">
        <w:rPr>
          <w:rFonts w:cs="Times New Roman"/>
        </w:rPr>
        <w:t xml:space="preserve"> and </w:t>
      </w:r>
      <w:r w:rsidRPr="002C2387">
        <w:rPr>
          <w:rFonts w:cs="Times New Roman"/>
          <w:b/>
        </w:rPr>
        <w:t xml:space="preserve">7c </w:t>
      </w:r>
      <w:r w:rsidRPr="00D073BA">
        <w:rPr>
          <w:rFonts w:cs="Times New Roman"/>
        </w:rPr>
        <w:t xml:space="preserve">in right whales off North Carolina and from South Carolina to Florida.  Each sub-alternative establishes a “book end” closure period for the area off North Carolina/South Carolina and for the area off Florida/Georgia.  As noted previously, North Atlantic right whales may be found in the southeastern United States from November 1 through April 30, and </w:t>
      </w:r>
      <w:r w:rsidRPr="00D073BA">
        <w:rPr>
          <w:rFonts w:cs="Times New Roman"/>
        </w:rPr>
        <w:lastRenderedPageBreak/>
        <w:t>do not mass migrate only at the beginning and end of the calving season but rather there is a steady stream of animals traveling between the northeastern and southeastern United States habitats in fall, winter</w:t>
      </w:r>
      <w:r w:rsidR="00686AE9" w:rsidRPr="00D073BA">
        <w:rPr>
          <w:rFonts w:cs="Times New Roman"/>
        </w:rPr>
        <w:t>,</w:t>
      </w:r>
      <w:r w:rsidRPr="00D073BA">
        <w:rPr>
          <w:rFonts w:cs="Times New Roman"/>
        </w:rPr>
        <w:t xml:space="preserve"> and spring.  As a result, the closure periods proposed under these sub-alternatives do not cover the entire period when these animals occur in the region.  </w:t>
      </w:r>
      <w:r w:rsidRPr="00D073BA">
        <w:rPr>
          <w:rFonts w:cs="Times New Roman"/>
          <w:b/>
        </w:rPr>
        <w:t>Sub-Alternative 7c</w:t>
      </w:r>
      <w:r w:rsidRPr="00D073BA">
        <w:rPr>
          <w:rFonts w:cs="Times New Roman"/>
        </w:rPr>
        <w:t xml:space="preserve"> covers more of the period when North Atlantic right whales occur in the southeastern United States; however, the fishery is anticipated to reach its ACL soonest under </w:t>
      </w:r>
      <w:r w:rsidRPr="00D073BA">
        <w:rPr>
          <w:rFonts w:cs="Times New Roman"/>
          <w:b/>
        </w:rPr>
        <w:t>Sub-Alternative 7a</w:t>
      </w:r>
      <w:r w:rsidRPr="00D073BA">
        <w:rPr>
          <w:rFonts w:cs="Times New Roman"/>
        </w:rPr>
        <w:t xml:space="preserve"> (somewhere between early August and early October), followed by </w:t>
      </w:r>
      <w:r w:rsidRPr="00D073BA">
        <w:rPr>
          <w:rFonts w:cs="Times New Roman"/>
          <w:b/>
        </w:rPr>
        <w:t>Sub-Alterative 7c</w:t>
      </w:r>
      <w:r w:rsidRPr="00D073BA">
        <w:rPr>
          <w:rFonts w:cs="Times New Roman"/>
        </w:rPr>
        <w:t xml:space="preserve"> and </w:t>
      </w:r>
      <w:r w:rsidRPr="00D073BA">
        <w:rPr>
          <w:rFonts w:cs="Times New Roman"/>
          <w:b/>
        </w:rPr>
        <w:t>Sub-Alterative 7b</w:t>
      </w:r>
      <w:r w:rsidRPr="00D073BA">
        <w:rPr>
          <w:rFonts w:cs="Times New Roman"/>
        </w:rPr>
        <w:t xml:space="preserve">.  Thus, the </w:t>
      </w:r>
      <w:r w:rsidRPr="00C3232C">
        <w:rPr>
          <w:rFonts w:cs="Times New Roman"/>
        </w:rPr>
        <w:t>SERO-LAPP-2014-09 analysis</w:t>
      </w:r>
      <w:r w:rsidRPr="00D073BA">
        <w:rPr>
          <w:rFonts w:cs="Times New Roman"/>
        </w:rPr>
        <w:t xml:space="preserve"> indicates </w:t>
      </w:r>
      <w:r w:rsidRPr="00D073BA">
        <w:rPr>
          <w:rFonts w:cs="Times New Roman"/>
          <w:b/>
        </w:rPr>
        <w:t>Sub-Alternative 7a</w:t>
      </w:r>
      <w:r w:rsidRPr="00D073BA">
        <w:rPr>
          <w:rFonts w:cs="Times New Roman"/>
        </w:rPr>
        <w:t xml:space="preserve"> will introduce less entanglement risk than </w:t>
      </w:r>
      <w:r w:rsidRPr="00D073BA">
        <w:rPr>
          <w:rFonts w:cs="Times New Roman"/>
          <w:b/>
        </w:rPr>
        <w:t>Sub-Alternatives 7c</w:t>
      </w:r>
      <w:r w:rsidRPr="00D073BA">
        <w:rPr>
          <w:rFonts w:cs="Times New Roman"/>
        </w:rPr>
        <w:t xml:space="preserve"> and </w:t>
      </w:r>
      <w:r w:rsidRPr="00D073BA">
        <w:rPr>
          <w:rFonts w:cs="Times New Roman"/>
          <w:b/>
        </w:rPr>
        <w:t>7b</w:t>
      </w:r>
      <w:r w:rsidRPr="00D073BA">
        <w:rPr>
          <w:rFonts w:cs="Times New Roman"/>
        </w:rPr>
        <w:t xml:space="preserve">, respectively.   </w:t>
      </w:r>
    </w:p>
    <w:p w:rsidR="00AF014F" w:rsidRDefault="00AF014F" w:rsidP="00AF014F">
      <w:pPr>
        <w:ind w:firstLine="360"/>
        <w:rPr>
          <w:rFonts w:ascii="Times" w:hAnsi="Times"/>
        </w:rPr>
      </w:pPr>
    </w:p>
    <w:p w:rsidR="00AF014F" w:rsidRPr="00D073BA" w:rsidRDefault="00AF014F" w:rsidP="00AF014F">
      <w:pPr>
        <w:ind w:firstLine="360"/>
        <w:rPr>
          <w:rFonts w:cs="Times New Roman"/>
        </w:rPr>
      </w:pPr>
      <w:r w:rsidRPr="00D073BA">
        <w:rPr>
          <w:rFonts w:cs="Times New Roman"/>
          <w:b/>
        </w:rPr>
        <w:t>Sub-Alternative 8a</w:t>
      </w:r>
      <w:r w:rsidRPr="00D073BA">
        <w:rPr>
          <w:rFonts w:cs="Times New Roman"/>
        </w:rPr>
        <w:t xml:space="preserve"> is likely to introduce less entanglement risk than a number of others (i.e., </w:t>
      </w:r>
      <w:r w:rsidRPr="00D073BA">
        <w:rPr>
          <w:rFonts w:cs="Times New Roman"/>
          <w:b/>
        </w:rPr>
        <w:t xml:space="preserve">Alternatives 2 </w:t>
      </w:r>
      <w:r w:rsidRPr="00D073BA">
        <w:rPr>
          <w:rFonts w:cs="Times New Roman"/>
        </w:rPr>
        <w:t>and</w:t>
      </w:r>
      <w:r w:rsidRPr="00D073BA">
        <w:rPr>
          <w:rFonts w:cs="Times New Roman"/>
          <w:b/>
        </w:rPr>
        <w:t xml:space="preserve"> 10 </w:t>
      </w:r>
      <w:r w:rsidRPr="00D073BA">
        <w:rPr>
          <w:rFonts w:cs="Times New Roman"/>
        </w:rPr>
        <w:t xml:space="preserve">and </w:t>
      </w:r>
      <w:r w:rsidRPr="00D073BA">
        <w:rPr>
          <w:rFonts w:cs="Times New Roman"/>
          <w:b/>
        </w:rPr>
        <w:t xml:space="preserve">Sub-Alternatives 7a, 7b, 7c, 9a, </w:t>
      </w:r>
      <w:r w:rsidRPr="00D073BA">
        <w:rPr>
          <w:rFonts w:cs="Times New Roman"/>
        </w:rPr>
        <w:t>and</w:t>
      </w:r>
      <w:r w:rsidRPr="00D073BA">
        <w:rPr>
          <w:rFonts w:cs="Times New Roman"/>
          <w:b/>
        </w:rPr>
        <w:t xml:space="preserve"> 9b</w:t>
      </w:r>
      <w:r w:rsidRPr="00D073BA">
        <w:rPr>
          <w:rFonts w:cs="Times New Roman"/>
        </w:rPr>
        <w:t>)</w:t>
      </w:r>
      <w:r w:rsidRPr="00D073BA">
        <w:rPr>
          <w:rFonts w:cs="Times New Roman"/>
          <w:b/>
        </w:rPr>
        <w:t xml:space="preserve"> </w:t>
      </w:r>
      <w:r w:rsidRPr="00D073BA">
        <w:rPr>
          <w:rFonts w:cs="Times New Roman"/>
        </w:rPr>
        <w:t xml:space="preserve">including </w:t>
      </w:r>
      <w:r w:rsidRPr="00D073BA">
        <w:rPr>
          <w:rFonts w:cs="Times New Roman"/>
          <w:b/>
        </w:rPr>
        <w:t>Sub-Alternative 8b</w:t>
      </w:r>
      <w:r w:rsidRPr="00D073BA">
        <w:rPr>
          <w:rFonts w:cs="Times New Roman"/>
        </w:rPr>
        <w:t>, but will likely introduce more than others (i.e.,</w:t>
      </w:r>
      <w:r w:rsidRPr="00D073BA">
        <w:rPr>
          <w:rFonts w:cs="Times New Roman"/>
          <w:b/>
        </w:rPr>
        <w:t xml:space="preserve"> Alternative 1, 3, 4, 5, </w:t>
      </w:r>
      <w:r w:rsidRPr="00D073BA">
        <w:rPr>
          <w:rFonts w:cs="Times New Roman"/>
        </w:rPr>
        <w:t>and</w:t>
      </w:r>
      <w:r w:rsidRPr="00D073BA">
        <w:rPr>
          <w:rFonts w:cs="Times New Roman"/>
          <w:b/>
        </w:rPr>
        <w:t xml:space="preserve"> 6</w:t>
      </w:r>
      <w:r w:rsidRPr="00D073BA">
        <w:rPr>
          <w:rFonts w:cs="Times New Roman"/>
        </w:rPr>
        <w:t>)</w:t>
      </w:r>
      <w:r w:rsidRPr="00D073BA">
        <w:rPr>
          <w:rFonts w:cs="Times New Roman"/>
          <w:b/>
        </w:rPr>
        <w:t xml:space="preserve">.  </w:t>
      </w:r>
      <w:r w:rsidRPr="00D073BA">
        <w:rPr>
          <w:rFonts w:cs="Times New Roman"/>
        </w:rPr>
        <w:t xml:space="preserve">The </w:t>
      </w:r>
      <w:r w:rsidRPr="00C3232C">
        <w:rPr>
          <w:rFonts w:cs="Times New Roman"/>
        </w:rPr>
        <w:t xml:space="preserve">SERO-LAPP-2014-09 analysis indicates a </w:t>
      </w:r>
      <w:r w:rsidRPr="00D073BA">
        <w:rPr>
          <w:rFonts w:cs="Times New Roman"/>
        </w:rPr>
        <w:t xml:space="preserve">low to moderate increase in entanglement risk for right whales off North Carolina, and a low to high increased risk of entanglement from South Carolina to Florida for </w:t>
      </w:r>
      <w:r w:rsidRPr="00D073BA">
        <w:rPr>
          <w:rFonts w:cs="Times New Roman"/>
          <w:b/>
        </w:rPr>
        <w:t>Sub-Alternative 8a</w:t>
      </w:r>
      <w:r w:rsidRPr="00D073BA">
        <w:rPr>
          <w:rFonts w:cs="Times New Roman"/>
        </w:rPr>
        <w:t>, relative to</w:t>
      </w:r>
      <w:r w:rsidRPr="00D073BA">
        <w:rPr>
          <w:rFonts w:cs="Times New Roman"/>
          <w:b/>
        </w:rPr>
        <w:t xml:space="preserve"> Alternative 1 (No Action)</w:t>
      </w:r>
      <w:r w:rsidRPr="00D073BA">
        <w:rPr>
          <w:rFonts w:cs="Times New Roman"/>
        </w:rPr>
        <w:t xml:space="preserve">.  Conversely, the </w:t>
      </w:r>
      <w:r w:rsidRPr="00C3232C">
        <w:rPr>
          <w:rFonts w:cs="Times New Roman"/>
        </w:rPr>
        <w:t xml:space="preserve">SERO-LAPP-2014-09 analysis indicates a high increased risk of entanglement under </w:t>
      </w:r>
      <w:r w:rsidRPr="00C3232C">
        <w:rPr>
          <w:rFonts w:cs="Times New Roman"/>
          <w:b/>
        </w:rPr>
        <w:t>Sub-Alternatives 8</w:t>
      </w:r>
      <w:r w:rsidRPr="004570B3">
        <w:rPr>
          <w:rFonts w:cs="Times New Roman"/>
          <w:b/>
        </w:rPr>
        <w:t>b</w:t>
      </w:r>
      <w:r w:rsidRPr="00D63B53">
        <w:rPr>
          <w:rFonts w:cs="Times New Roman"/>
        </w:rPr>
        <w:t xml:space="preserve"> </w:t>
      </w:r>
      <w:r w:rsidRPr="00D073BA">
        <w:rPr>
          <w:rFonts w:cs="Times New Roman"/>
        </w:rPr>
        <w:t xml:space="preserve">off North Carolina and a high to very high increase in entanglement risk from South Carolina to Florida.  </w:t>
      </w:r>
      <w:r w:rsidRPr="00D073BA">
        <w:rPr>
          <w:rFonts w:cs="Times New Roman"/>
          <w:b/>
        </w:rPr>
        <w:t>Sub-Alternative 8a</w:t>
      </w:r>
      <w:r w:rsidRPr="00D073BA">
        <w:rPr>
          <w:rFonts w:cs="Times New Roman"/>
        </w:rPr>
        <w:t xml:space="preserve"> is likely to introduce less entanglement risk relative to </w:t>
      </w:r>
      <w:r w:rsidRPr="00D073BA">
        <w:rPr>
          <w:rFonts w:cs="Times New Roman"/>
          <w:b/>
        </w:rPr>
        <w:t>Sub-Alternative 8b</w:t>
      </w:r>
      <w:r w:rsidRPr="00D073BA">
        <w:rPr>
          <w:rFonts w:cs="Times New Roman"/>
        </w:rPr>
        <w:t xml:space="preserve"> for two primary reasons.  As noted previously, North Atlantic right whales may be found in the southeastern United States from November 1 through April 30, and do not mass migrate only at the beginning and end of the calving season but rather there is a steady stream of animals traveling between the northeastern and southeastern United States habitats in fall, winter</w:t>
      </w:r>
      <w:r w:rsidR="00C3232C" w:rsidRPr="00D073BA">
        <w:rPr>
          <w:rFonts w:cs="Times New Roman"/>
        </w:rPr>
        <w:t>,</w:t>
      </w:r>
      <w:r w:rsidRPr="00D073BA">
        <w:rPr>
          <w:rFonts w:cs="Times New Roman"/>
        </w:rPr>
        <w:t xml:space="preserve"> and spring.  The closure under </w:t>
      </w:r>
      <w:r w:rsidRPr="00D073BA">
        <w:rPr>
          <w:rFonts w:cs="Times New Roman"/>
          <w:b/>
        </w:rPr>
        <w:t>Sub-Alternative 8a</w:t>
      </w:r>
      <w:r w:rsidRPr="00D073BA">
        <w:rPr>
          <w:rFonts w:cs="Times New Roman"/>
        </w:rPr>
        <w:t xml:space="preserve"> spans almost the entire period North Atlantic right whales will occur in the southeastern United States, whereas </w:t>
      </w:r>
      <w:r w:rsidRPr="00D073BA">
        <w:rPr>
          <w:rFonts w:cs="Times New Roman"/>
          <w:b/>
        </w:rPr>
        <w:t>Sub-Alternative 8b</w:t>
      </w:r>
      <w:r w:rsidRPr="00D073BA">
        <w:rPr>
          <w:rFonts w:cs="Times New Roman"/>
        </w:rPr>
        <w:t xml:space="preserve"> establishes a “book-end” closure that does not.  The ACL is also projected to be met sooner (between mid-October and mid-December) under </w:t>
      </w:r>
      <w:r w:rsidRPr="00D073BA">
        <w:rPr>
          <w:rFonts w:cs="Times New Roman"/>
          <w:b/>
        </w:rPr>
        <w:t>Sub-Alternative 8a</w:t>
      </w:r>
      <w:r w:rsidRPr="00D073BA">
        <w:rPr>
          <w:rFonts w:cs="Times New Roman"/>
        </w:rPr>
        <w:t xml:space="preserve"> than under </w:t>
      </w:r>
      <w:r w:rsidRPr="00D073BA">
        <w:rPr>
          <w:rFonts w:cs="Times New Roman"/>
          <w:b/>
        </w:rPr>
        <w:t>Sub-Alternative 8b</w:t>
      </w:r>
      <w:r w:rsidRPr="00D073BA">
        <w:rPr>
          <w:rFonts w:cs="Times New Roman"/>
        </w:rPr>
        <w:t xml:space="preserve"> (mid-December or not met at all).  The sooner the ACL is met, the less likely trap pots will be in the water when right whales may be in the region.   </w:t>
      </w:r>
    </w:p>
    <w:p w:rsidR="00AF014F" w:rsidRDefault="00AF014F" w:rsidP="00AF014F">
      <w:pPr>
        <w:ind w:firstLine="360"/>
        <w:rPr>
          <w:rFonts w:ascii="Times" w:hAnsi="Times"/>
        </w:rPr>
      </w:pPr>
    </w:p>
    <w:p w:rsidR="00AF014F" w:rsidRPr="00D073BA" w:rsidRDefault="00AF014F" w:rsidP="00AF014F">
      <w:pPr>
        <w:ind w:firstLine="360"/>
        <w:rPr>
          <w:rFonts w:cs="Times New Roman"/>
        </w:rPr>
      </w:pPr>
      <w:r w:rsidRPr="00D073BA">
        <w:rPr>
          <w:rFonts w:cs="Times New Roman"/>
          <w:b/>
        </w:rPr>
        <w:t xml:space="preserve">Sub-Alternative 9a </w:t>
      </w:r>
      <w:r w:rsidRPr="00D073BA">
        <w:rPr>
          <w:rFonts w:cs="Times New Roman"/>
        </w:rPr>
        <w:t xml:space="preserve"> is likely to introduce less entanglement risk than </w:t>
      </w:r>
      <w:r w:rsidRPr="00D073BA">
        <w:rPr>
          <w:rFonts w:cs="Times New Roman"/>
          <w:b/>
        </w:rPr>
        <w:t xml:space="preserve">Alternatives 2 </w:t>
      </w:r>
      <w:r w:rsidRPr="00D073BA">
        <w:rPr>
          <w:rFonts w:cs="Times New Roman"/>
        </w:rPr>
        <w:t>and</w:t>
      </w:r>
      <w:r w:rsidRPr="00D073BA">
        <w:rPr>
          <w:rFonts w:cs="Times New Roman"/>
          <w:b/>
        </w:rPr>
        <w:t xml:space="preserve"> 10 </w:t>
      </w:r>
      <w:r w:rsidRPr="00D073BA">
        <w:rPr>
          <w:rFonts w:cs="Times New Roman"/>
        </w:rPr>
        <w:t>and</w:t>
      </w:r>
      <w:r w:rsidRPr="00D073BA">
        <w:rPr>
          <w:rFonts w:cs="Times New Roman"/>
          <w:b/>
        </w:rPr>
        <w:t xml:space="preserve"> Sub-Alternatives 7a, 7b, 7c, 8b, </w:t>
      </w:r>
      <w:r w:rsidRPr="00D073BA">
        <w:rPr>
          <w:rFonts w:cs="Times New Roman"/>
        </w:rPr>
        <w:t xml:space="preserve">and </w:t>
      </w:r>
      <w:r w:rsidRPr="00D073BA">
        <w:rPr>
          <w:rFonts w:cs="Times New Roman"/>
          <w:b/>
        </w:rPr>
        <w:t xml:space="preserve">9b, </w:t>
      </w:r>
      <w:r w:rsidRPr="00D073BA">
        <w:rPr>
          <w:rFonts w:cs="Times New Roman"/>
        </w:rPr>
        <w:t xml:space="preserve">but will likely introduce more entanglement risk than </w:t>
      </w:r>
      <w:r w:rsidRPr="00D073BA">
        <w:rPr>
          <w:rFonts w:cs="Times New Roman"/>
          <w:b/>
        </w:rPr>
        <w:t xml:space="preserve">Alternative 1, 3, 4, 5, 6, </w:t>
      </w:r>
      <w:r w:rsidRPr="00D073BA">
        <w:rPr>
          <w:rFonts w:cs="Times New Roman"/>
        </w:rPr>
        <w:t>and</w:t>
      </w:r>
      <w:r w:rsidRPr="00D073BA">
        <w:rPr>
          <w:rFonts w:cs="Times New Roman"/>
          <w:b/>
        </w:rPr>
        <w:t xml:space="preserve"> Sub-Alternative 8a</w:t>
      </w:r>
      <w:r w:rsidRPr="00D073BA">
        <w:rPr>
          <w:rFonts w:cs="Times New Roman"/>
        </w:rPr>
        <w:t>)</w:t>
      </w:r>
      <w:r w:rsidRPr="00D073BA">
        <w:rPr>
          <w:rFonts w:cs="Times New Roman"/>
          <w:b/>
        </w:rPr>
        <w:t xml:space="preserve">.  </w:t>
      </w:r>
      <w:r w:rsidRPr="00D073BA">
        <w:rPr>
          <w:rFonts w:cs="Times New Roman"/>
        </w:rPr>
        <w:t xml:space="preserve">The </w:t>
      </w:r>
      <w:r w:rsidRPr="00C3232C">
        <w:rPr>
          <w:rFonts w:cs="Times New Roman"/>
        </w:rPr>
        <w:t xml:space="preserve">SERO-LAPP-2014-09 analysis indicates a </w:t>
      </w:r>
      <w:r w:rsidRPr="00D073BA">
        <w:rPr>
          <w:rFonts w:cs="Times New Roman"/>
        </w:rPr>
        <w:t xml:space="preserve">moderate to high increase in entanglement risk for right whales off North Carolina, and from South Carolina to Florida for </w:t>
      </w:r>
      <w:r w:rsidRPr="00D073BA">
        <w:rPr>
          <w:rFonts w:cs="Times New Roman"/>
          <w:b/>
        </w:rPr>
        <w:t>Sub-Alternative 9a</w:t>
      </w:r>
      <w:r w:rsidRPr="00D073BA">
        <w:rPr>
          <w:rFonts w:cs="Times New Roman"/>
        </w:rPr>
        <w:t>, relative to</w:t>
      </w:r>
      <w:r w:rsidRPr="00D073BA">
        <w:rPr>
          <w:rFonts w:cs="Times New Roman"/>
          <w:b/>
        </w:rPr>
        <w:t xml:space="preserve"> Alternative 1 (No Action)</w:t>
      </w:r>
      <w:r w:rsidRPr="00D073BA">
        <w:rPr>
          <w:rFonts w:cs="Times New Roman"/>
        </w:rPr>
        <w:t xml:space="preserve">.  Conversely, the </w:t>
      </w:r>
      <w:r w:rsidRPr="00C3232C">
        <w:rPr>
          <w:rFonts w:cs="Times New Roman"/>
        </w:rPr>
        <w:t xml:space="preserve">SERO-LAPP-2014-09 analysis indicates a high to very high increased risk of entanglement under </w:t>
      </w:r>
      <w:r w:rsidRPr="00C3232C">
        <w:rPr>
          <w:rFonts w:cs="Times New Roman"/>
          <w:b/>
        </w:rPr>
        <w:t>Sub-Alternatives 9b</w:t>
      </w:r>
      <w:r w:rsidRPr="004570B3">
        <w:rPr>
          <w:rFonts w:cs="Times New Roman"/>
        </w:rPr>
        <w:t xml:space="preserve"> </w:t>
      </w:r>
      <w:r w:rsidRPr="00D073BA">
        <w:rPr>
          <w:rFonts w:cs="Times New Roman"/>
        </w:rPr>
        <w:t xml:space="preserve">off North Carolina and from South Carolina to Florida.  </w:t>
      </w:r>
      <w:r w:rsidRPr="00D073BA">
        <w:rPr>
          <w:rFonts w:cs="Times New Roman"/>
          <w:b/>
        </w:rPr>
        <w:t>Sub-Alternative 9a</w:t>
      </w:r>
      <w:r w:rsidRPr="00D073BA">
        <w:rPr>
          <w:rFonts w:cs="Times New Roman"/>
        </w:rPr>
        <w:t xml:space="preserve"> is likely to introduce less entanglement risk relative to </w:t>
      </w:r>
      <w:r w:rsidRPr="00D073BA">
        <w:rPr>
          <w:rFonts w:cs="Times New Roman"/>
          <w:b/>
        </w:rPr>
        <w:t>Sub-Alternative 9b</w:t>
      </w:r>
      <w:r w:rsidRPr="00D073BA">
        <w:rPr>
          <w:rFonts w:cs="Times New Roman"/>
        </w:rPr>
        <w:t xml:space="preserve"> for two primary reasons.  As noted previously, North Atlantic right whales may be found in the southeastern United States from November 1 through April 30, and do not mass migrate only at the beginning and end of the calving season but rather there is a steady stream of animals traveling between the northeastern and southeastern United States habitats in fall, winter and spring.  The closure under </w:t>
      </w:r>
      <w:r w:rsidRPr="00D073BA">
        <w:rPr>
          <w:rFonts w:cs="Times New Roman"/>
          <w:b/>
        </w:rPr>
        <w:t>Sub-Alternative 9a</w:t>
      </w:r>
      <w:r w:rsidRPr="00D073BA">
        <w:rPr>
          <w:rFonts w:cs="Times New Roman"/>
        </w:rPr>
        <w:t xml:space="preserve"> spans almost the entire period North Atlantic right whales will occur in the southeastern United States, whereas </w:t>
      </w:r>
      <w:r w:rsidRPr="00D073BA">
        <w:rPr>
          <w:rFonts w:cs="Times New Roman"/>
        </w:rPr>
        <w:lastRenderedPageBreak/>
        <w:t>Sub-</w:t>
      </w:r>
      <w:r w:rsidRPr="00D073BA">
        <w:rPr>
          <w:rFonts w:cs="Times New Roman"/>
          <w:b/>
        </w:rPr>
        <w:t>Alternative 9b</w:t>
      </w:r>
      <w:r w:rsidRPr="00D073BA">
        <w:rPr>
          <w:rFonts w:cs="Times New Roman"/>
        </w:rPr>
        <w:t xml:space="preserve"> establishes a “book-end” closure that does not.  The ACL is projected to be met sooner under </w:t>
      </w:r>
      <w:r w:rsidRPr="00D073BA">
        <w:rPr>
          <w:rFonts w:cs="Times New Roman"/>
          <w:b/>
        </w:rPr>
        <w:t>Sub-Alternative 9a</w:t>
      </w:r>
      <w:r w:rsidRPr="00D073BA">
        <w:rPr>
          <w:rFonts w:cs="Times New Roman"/>
        </w:rPr>
        <w:t xml:space="preserve"> (between mid-September and early November) than under </w:t>
      </w:r>
      <w:r w:rsidRPr="00D073BA">
        <w:rPr>
          <w:rFonts w:cs="Times New Roman"/>
          <w:b/>
        </w:rPr>
        <w:t>Sub-Alternative 9b</w:t>
      </w:r>
      <w:r w:rsidRPr="00D073BA">
        <w:rPr>
          <w:rFonts w:cs="Times New Roman"/>
        </w:rPr>
        <w:t xml:space="preserve"> (mid-December or not met at all).  The sooner the ACL is met, the less likely trap pots will be in the water when right whales may be in the region.   </w:t>
      </w:r>
    </w:p>
    <w:p w:rsidR="00AF014F" w:rsidRDefault="00AF014F" w:rsidP="00AF014F">
      <w:pPr>
        <w:ind w:firstLine="360"/>
        <w:rPr>
          <w:rFonts w:ascii="Times" w:hAnsi="Times"/>
        </w:rPr>
      </w:pPr>
    </w:p>
    <w:p w:rsidR="00AF014F" w:rsidRPr="00D073BA" w:rsidRDefault="00AF014F" w:rsidP="00AF014F">
      <w:pPr>
        <w:ind w:firstLine="360"/>
        <w:rPr>
          <w:rFonts w:cs="Times New Roman"/>
        </w:rPr>
      </w:pPr>
      <w:r w:rsidRPr="00D073BA">
        <w:rPr>
          <w:rFonts w:cs="Times New Roman"/>
          <w:b/>
        </w:rPr>
        <w:t>Alternative 10</w:t>
      </w:r>
      <w:r w:rsidRPr="00D073BA">
        <w:rPr>
          <w:rFonts w:cs="Times New Roman"/>
        </w:rPr>
        <w:t xml:space="preserve"> is likely introduce more entanglement risk than the majority of alternatives and sub-alternatives (i.e., </w:t>
      </w:r>
      <w:r w:rsidRPr="00D073BA">
        <w:rPr>
          <w:rFonts w:cs="Times New Roman"/>
          <w:b/>
        </w:rPr>
        <w:t>Alternatives 1, 3, 4, 5, 6</w:t>
      </w:r>
      <w:r w:rsidRPr="00D073BA">
        <w:rPr>
          <w:rFonts w:cs="Times New Roman"/>
        </w:rPr>
        <w:t xml:space="preserve">, and </w:t>
      </w:r>
      <w:r w:rsidRPr="00D073BA">
        <w:rPr>
          <w:rFonts w:cs="Times New Roman"/>
          <w:b/>
        </w:rPr>
        <w:t>Sub-Alternatives 7a</w:t>
      </w:r>
      <w:r w:rsidRPr="00D073BA">
        <w:rPr>
          <w:rFonts w:cs="Times New Roman"/>
        </w:rPr>
        <w:t xml:space="preserve"> and </w:t>
      </w:r>
      <w:r w:rsidRPr="00D073BA">
        <w:rPr>
          <w:rFonts w:cs="Times New Roman"/>
          <w:b/>
        </w:rPr>
        <w:t>8b</w:t>
      </w:r>
      <w:r w:rsidRPr="00D073BA">
        <w:rPr>
          <w:rFonts w:cs="Times New Roman"/>
        </w:rPr>
        <w:t>)</w:t>
      </w:r>
      <w:r w:rsidR="00C3232C">
        <w:rPr>
          <w:rFonts w:cs="Times New Roman"/>
        </w:rPr>
        <w:t>,</w:t>
      </w:r>
      <w:r w:rsidRPr="00D073BA">
        <w:rPr>
          <w:rFonts w:cs="Times New Roman"/>
        </w:rPr>
        <w:t xml:space="preserve"> though is likely to introduce less risk than a few (i.e., </w:t>
      </w:r>
      <w:r w:rsidRPr="00D073BA">
        <w:rPr>
          <w:rFonts w:cs="Times New Roman"/>
          <w:b/>
        </w:rPr>
        <w:t>Alternative 2</w:t>
      </w:r>
      <w:r w:rsidRPr="00D073BA">
        <w:rPr>
          <w:rFonts w:cs="Times New Roman"/>
        </w:rPr>
        <w:t xml:space="preserve"> and </w:t>
      </w:r>
      <w:r w:rsidRPr="00D073BA">
        <w:rPr>
          <w:rFonts w:cs="Times New Roman"/>
          <w:b/>
        </w:rPr>
        <w:t xml:space="preserve">Sub-Alternatives 7b, 7c, </w:t>
      </w:r>
      <w:r w:rsidRPr="00D073BA">
        <w:rPr>
          <w:rFonts w:cs="Times New Roman"/>
        </w:rPr>
        <w:t>and</w:t>
      </w:r>
      <w:r w:rsidRPr="00D073BA">
        <w:rPr>
          <w:rFonts w:cs="Times New Roman"/>
          <w:b/>
        </w:rPr>
        <w:t xml:space="preserve"> 9b</w:t>
      </w:r>
      <w:r w:rsidRPr="00D073BA">
        <w:rPr>
          <w:rFonts w:cs="Times New Roman"/>
        </w:rPr>
        <w:t xml:space="preserve">).  The </w:t>
      </w:r>
      <w:r w:rsidRPr="00C3232C">
        <w:rPr>
          <w:rFonts w:cs="Times New Roman"/>
        </w:rPr>
        <w:t xml:space="preserve">SERO-LAPP-2014-09 analysis indicates a </w:t>
      </w:r>
      <w:r w:rsidRPr="00D073BA">
        <w:rPr>
          <w:rFonts w:cs="Times New Roman"/>
        </w:rPr>
        <w:t xml:space="preserve">high to very high increase in entanglement risk for right whales off North Carolina and from South Carolina to Florida for </w:t>
      </w:r>
      <w:r w:rsidRPr="00D073BA">
        <w:rPr>
          <w:rFonts w:cs="Times New Roman"/>
          <w:b/>
        </w:rPr>
        <w:t>Alternative 10</w:t>
      </w:r>
      <w:r w:rsidRPr="00D073BA">
        <w:rPr>
          <w:rFonts w:cs="Times New Roman"/>
        </w:rPr>
        <w:t>, relative to</w:t>
      </w:r>
      <w:r w:rsidRPr="00D073BA">
        <w:rPr>
          <w:rFonts w:cs="Times New Roman"/>
          <w:b/>
        </w:rPr>
        <w:t xml:space="preserve"> Alternative 1 (No Action)</w:t>
      </w:r>
      <w:r w:rsidRPr="00D073BA">
        <w:rPr>
          <w:rFonts w:cs="Times New Roman"/>
        </w:rPr>
        <w:t xml:space="preserve">.  As with other alternative and sub-alternatives, </w:t>
      </w:r>
      <w:r w:rsidRPr="00D073BA">
        <w:rPr>
          <w:rFonts w:cs="Times New Roman"/>
          <w:b/>
        </w:rPr>
        <w:t>Alternative 10</w:t>
      </w:r>
      <w:r w:rsidRPr="00D073BA">
        <w:rPr>
          <w:rFonts w:cs="Times New Roman"/>
        </w:rPr>
        <w:t xml:space="preserve"> establishes “book-end” closure periods for areas </w:t>
      </w:r>
      <w:proofErr w:type="spellStart"/>
      <w:r w:rsidRPr="00D073BA">
        <w:rPr>
          <w:rFonts w:cs="Times New Roman"/>
        </w:rPr>
        <w:t>off</w:t>
      </w:r>
      <w:proofErr w:type="spellEnd"/>
      <w:r w:rsidRPr="00D073BA">
        <w:rPr>
          <w:rFonts w:cs="Times New Roman"/>
        </w:rPr>
        <w:t xml:space="preserve"> North Carolina and South Carolina, while establishing a year-round closure off Florida and Georgia.  As noted previously, North Atlantic right whales may be found in the southeastern United States from November 1 through April 30, and do not mass migrate only at the beginning and end of the calving season but rather there is a steady stream of animals traveling between the northeastern and southeastern United States habitats in fall, winter and spring.  As a result, the “book-end” closure of November 1 through December 15 and February 15 through April 20 off North Carolina and South Carolina is likely to have limited biological benefits.  The closure period off Florida and Georgia is likely to be more biologically beneficial, but does not encompass the entire period when North Atlantic right whales will occur in the southeastern United States.</w:t>
      </w:r>
    </w:p>
    <w:p w:rsidR="00AF014F" w:rsidRDefault="00AF014F" w:rsidP="00AF014F">
      <w:pPr>
        <w:ind w:firstLine="360"/>
        <w:rPr>
          <w:rFonts w:ascii="Times" w:hAnsi="Times"/>
        </w:rPr>
      </w:pPr>
    </w:p>
    <w:p w:rsidR="00AF014F" w:rsidRPr="00D073BA" w:rsidRDefault="00C3232C" w:rsidP="00AF014F">
      <w:pPr>
        <w:ind w:firstLine="360"/>
        <w:rPr>
          <w:rFonts w:cs="Times New Roman"/>
        </w:rPr>
      </w:pPr>
      <w:r>
        <w:rPr>
          <w:rFonts w:cs="Times New Roman"/>
          <w:b/>
        </w:rPr>
        <w:t xml:space="preserve">Preferred </w:t>
      </w:r>
      <w:r w:rsidR="00AF014F" w:rsidRPr="00D073BA">
        <w:rPr>
          <w:rFonts w:cs="Times New Roman"/>
          <w:b/>
        </w:rPr>
        <w:t xml:space="preserve">Alternative 11 </w:t>
      </w:r>
      <w:r w:rsidR="00AF014F" w:rsidRPr="00D073BA">
        <w:rPr>
          <w:rFonts w:cs="Times New Roman"/>
        </w:rPr>
        <w:t xml:space="preserve">is likely to introduce relatively little entanglement risk compare to most alternatives (i.e., </w:t>
      </w:r>
      <w:r w:rsidR="00AF014F" w:rsidRPr="00D073BA">
        <w:rPr>
          <w:rFonts w:cs="Times New Roman"/>
          <w:b/>
        </w:rPr>
        <w:t xml:space="preserve">Alternatives 2, 3, 5, 10, </w:t>
      </w:r>
      <w:r w:rsidR="00AF014F" w:rsidRPr="00D073BA">
        <w:rPr>
          <w:rFonts w:cs="Times New Roman"/>
        </w:rPr>
        <w:t>and</w:t>
      </w:r>
      <w:r w:rsidR="00AF014F" w:rsidRPr="00D073BA">
        <w:rPr>
          <w:rFonts w:cs="Times New Roman"/>
          <w:b/>
        </w:rPr>
        <w:t xml:space="preserve"> 12, </w:t>
      </w:r>
      <w:r w:rsidR="00AF014F" w:rsidRPr="00D073BA">
        <w:rPr>
          <w:rFonts w:cs="Times New Roman"/>
        </w:rPr>
        <w:t>and</w:t>
      </w:r>
      <w:r w:rsidR="00AF014F" w:rsidRPr="00D073BA">
        <w:rPr>
          <w:rFonts w:cs="Times New Roman"/>
          <w:b/>
        </w:rPr>
        <w:t xml:space="preserve"> Sub-Alternatives 7a, 7b, 7c, 8a, 8b, 9a, </w:t>
      </w:r>
      <w:r w:rsidR="00AF014F" w:rsidRPr="00D073BA">
        <w:rPr>
          <w:rFonts w:cs="Times New Roman"/>
        </w:rPr>
        <w:t>and</w:t>
      </w:r>
      <w:r w:rsidR="00AF014F" w:rsidRPr="00D073BA">
        <w:rPr>
          <w:rFonts w:cs="Times New Roman"/>
          <w:b/>
        </w:rPr>
        <w:t xml:space="preserve"> 9b</w:t>
      </w:r>
      <w:r w:rsidR="00AF014F" w:rsidRPr="00D073BA">
        <w:rPr>
          <w:rFonts w:cs="Times New Roman"/>
        </w:rPr>
        <w:t xml:space="preserve">) but will likely introduce more entanglement risk than </w:t>
      </w:r>
      <w:r w:rsidR="00AF014F" w:rsidRPr="00D073BA">
        <w:rPr>
          <w:rFonts w:cs="Times New Roman"/>
          <w:b/>
        </w:rPr>
        <w:t>Alternatives 1 (No Action)</w:t>
      </w:r>
      <w:r w:rsidR="00AF014F" w:rsidRPr="00D073BA">
        <w:rPr>
          <w:rFonts w:cs="Times New Roman"/>
        </w:rPr>
        <w:t xml:space="preserve">, </w:t>
      </w:r>
      <w:r w:rsidR="00AF014F" w:rsidRPr="00D073BA">
        <w:rPr>
          <w:rFonts w:cs="Times New Roman"/>
          <w:b/>
        </w:rPr>
        <w:t xml:space="preserve">4, </w:t>
      </w:r>
      <w:r w:rsidR="00AF014F" w:rsidRPr="00D073BA">
        <w:rPr>
          <w:rFonts w:cs="Times New Roman"/>
        </w:rPr>
        <w:t>and</w:t>
      </w:r>
      <w:r w:rsidR="00AF014F" w:rsidRPr="00D073BA">
        <w:rPr>
          <w:rFonts w:cs="Times New Roman"/>
          <w:b/>
        </w:rPr>
        <w:t xml:space="preserve"> 6</w:t>
      </w:r>
      <w:r w:rsidR="00AF014F" w:rsidRPr="00D073BA">
        <w:rPr>
          <w:rFonts w:cs="Times New Roman"/>
        </w:rPr>
        <w:t xml:space="preserve">.  The </w:t>
      </w:r>
      <w:r w:rsidRPr="00C3232C">
        <w:rPr>
          <w:rFonts w:cs="Times New Roman"/>
        </w:rPr>
        <w:t xml:space="preserve">SERO-LAPP-2014-09 analysis </w:t>
      </w:r>
      <w:r w:rsidR="00D073BA">
        <w:rPr>
          <w:rFonts w:cs="Times New Roman"/>
        </w:rPr>
        <w:t xml:space="preserve">(Appendix N) </w:t>
      </w:r>
      <w:r w:rsidR="00AF014F" w:rsidRPr="00C3232C">
        <w:rPr>
          <w:rFonts w:cs="Times New Roman"/>
        </w:rPr>
        <w:t xml:space="preserve">indicates a </w:t>
      </w:r>
      <w:r w:rsidR="00AF014F" w:rsidRPr="00D073BA">
        <w:rPr>
          <w:rFonts w:cs="Times New Roman"/>
        </w:rPr>
        <w:t>low increased entanglement risk in right whales off North Carolina and from South Carolina to Florida, for this alternative, relative to</w:t>
      </w:r>
      <w:r w:rsidR="00AF014F" w:rsidRPr="00D073BA">
        <w:rPr>
          <w:rFonts w:cs="Times New Roman"/>
          <w:b/>
        </w:rPr>
        <w:t xml:space="preserve"> Alternative 1 (No Action)</w:t>
      </w:r>
      <w:r w:rsidR="00AF014F" w:rsidRPr="00D073BA">
        <w:rPr>
          <w:rFonts w:cs="Times New Roman"/>
        </w:rPr>
        <w:t xml:space="preserve">.  This alternative is a hybrid of </w:t>
      </w:r>
      <w:r w:rsidR="00AF014F" w:rsidRPr="00D073BA">
        <w:rPr>
          <w:rFonts w:cs="Times New Roman"/>
          <w:b/>
        </w:rPr>
        <w:t>Alternative 4</w:t>
      </w:r>
      <w:r w:rsidR="00AF014F" w:rsidRPr="00D073BA">
        <w:rPr>
          <w:rFonts w:cs="Times New Roman"/>
        </w:rPr>
        <w:t xml:space="preserve"> and </w:t>
      </w:r>
      <w:r w:rsidR="00AF014F" w:rsidRPr="00D073BA">
        <w:rPr>
          <w:rFonts w:cs="Times New Roman"/>
          <w:b/>
        </w:rPr>
        <w:t>8a</w:t>
      </w:r>
      <w:r w:rsidR="00AF014F" w:rsidRPr="00D073BA">
        <w:rPr>
          <w:rFonts w:cs="Times New Roman"/>
        </w:rPr>
        <w:t xml:space="preserve">.  </w:t>
      </w:r>
      <w:r w:rsidRPr="00D073BA">
        <w:rPr>
          <w:rFonts w:cs="Times New Roman"/>
          <w:b/>
        </w:rPr>
        <w:t>Preferred</w:t>
      </w:r>
      <w:r>
        <w:rPr>
          <w:rFonts w:cs="Times New Roman"/>
        </w:rPr>
        <w:t xml:space="preserve"> </w:t>
      </w:r>
      <w:r w:rsidR="00AF014F" w:rsidRPr="00D073BA">
        <w:rPr>
          <w:rFonts w:cs="Times New Roman"/>
          <w:b/>
        </w:rPr>
        <w:t>Alternative 11</w:t>
      </w:r>
      <w:r w:rsidR="00AF014F" w:rsidRPr="00D073BA">
        <w:rPr>
          <w:rFonts w:cs="Times New Roman"/>
        </w:rPr>
        <w:t xml:space="preserve"> would implement a “book-end” closure, closing fishing only from November 1-30 and April 1-30 in the area proposed for closure under </w:t>
      </w:r>
      <w:r w:rsidR="00AF014F" w:rsidRPr="00D073BA">
        <w:rPr>
          <w:rFonts w:cs="Times New Roman"/>
          <w:b/>
        </w:rPr>
        <w:t>Alternative 8a</w:t>
      </w:r>
      <w:r w:rsidR="00AF014F" w:rsidRPr="00D073BA">
        <w:rPr>
          <w:rFonts w:cs="Times New Roman"/>
        </w:rPr>
        <w:t xml:space="preserve">.  However, it would also implement a much longer closure from December 1-March 31 in the area currently proposed for closure under </w:t>
      </w:r>
      <w:r w:rsidR="00AF014F" w:rsidRPr="00D073BA">
        <w:rPr>
          <w:rFonts w:cs="Times New Roman"/>
          <w:b/>
        </w:rPr>
        <w:t>Alternative 4</w:t>
      </w:r>
      <w:r w:rsidR="00AF014F" w:rsidRPr="00D073BA">
        <w:rPr>
          <w:rFonts w:cs="Times New Roman"/>
        </w:rPr>
        <w:t>.  This alternative provides protection to whales during the primary “shoulder season” when whales are migrating to and from the calving grounds.  As noted previously, North Atlantic right whales do not mass migrate only at the beginning and end of the calving season but rather there is a steady stream of animals traveling between the northeastern and southeastern United States habitats in fall, winter</w:t>
      </w:r>
      <w:r w:rsidR="004570B3">
        <w:rPr>
          <w:rFonts w:cs="Times New Roman"/>
        </w:rPr>
        <w:t>,</w:t>
      </w:r>
      <w:r w:rsidR="00AF014F" w:rsidRPr="00D073BA">
        <w:rPr>
          <w:rFonts w:cs="Times New Roman"/>
        </w:rPr>
        <w:t xml:space="preserve"> and spring.  As a result, the “book-end” closure may expose some late/early migrating animals to entanglement risk.  However, the alternative does provide a high level of protection to the core calving area, including young calves that are likely to persist off Florida throughout the primary calving season.  </w:t>
      </w:r>
    </w:p>
    <w:p w:rsidR="00AF014F" w:rsidRDefault="00AF014F" w:rsidP="00AF014F">
      <w:pPr>
        <w:ind w:firstLine="360"/>
        <w:rPr>
          <w:rFonts w:ascii="Times" w:hAnsi="Times"/>
        </w:rPr>
      </w:pPr>
    </w:p>
    <w:p w:rsidR="00AF014F" w:rsidRPr="00D073BA" w:rsidRDefault="00AF014F" w:rsidP="00AF014F">
      <w:pPr>
        <w:ind w:firstLine="360"/>
        <w:rPr>
          <w:rFonts w:cs="Times New Roman"/>
        </w:rPr>
      </w:pPr>
      <w:r w:rsidRPr="00D073BA">
        <w:rPr>
          <w:rFonts w:cs="Times New Roman"/>
          <w:b/>
        </w:rPr>
        <w:t xml:space="preserve">Alternative 12 </w:t>
      </w:r>
      <w:r w:rsidRPr="00D073BA">
        <w:rPr>
          <w:rFonts w:cs="Times New Roman"/>
        </w:rPr>
        <w:t xml:space="preserve">is </w:t>
      </w:r>
      <w:r w:rsidRPr="00D63B53">
        <w:rPr>
          <w:rFonts w:cs="Times New Roman"/>
        </w:rPr>
        <w:t xml:space="preserve">likely to introduce less entanglement risk </w:t>
      </w:r>
      <w:r w:rsidRPr="00D073BA">
        <w:rPr>
          <w:rFonts w:cs="Times New Roman"/>
        </w:rPr>
        <w:t xml:space="preserve">than all alternatives other than </w:t>
      </w:r>
      <w:r w:rsidRPr="00D073BA">
        <w:rPr>
          <w:rFonts w:cs="Times New Roman"/>
          <w:b/>
        </w:rPr>
        <w:t>Alternatives 1 (No Action)</w:t>
      </w:r>
      <w:r w:rsidRPr="00D073BA">
        <w:rPr>
          <w:rFonts w:cs="Times New Roman"/>
        </w:rPr>
        <w:t xml:space="preserve">, </w:t>
      </w:r>
      <w:r w:rsidRPr="00D073BA">
        <w:rPr>
          <w:rFonts w:cs="Times New Roman"/>
          <w:b/>
        </w:rPr>
        <w:t xml:space="preserve">4, 6, </w:t>
      </w:r>
      <w:r w:rsidRPr="00D073BA">
        <w:rPr>
          <w:rFonts w:cs="Times New Roman"/>
        </w:rPr>
        <w:t>and</w:t>
      </w:r>
      <w:r w:rsidRPr="00D073BA">
        <w:rPr>
          <w:rFonts w:cs="Times New Roman"/>
          <w:b/>
        </w:rPr>
        <w:t xml:space="preserve"> 11</w:t>
      </w:r>
      <w:r w:rsidRPr="00D073BA">
        <w:rPr>
          <w:rFonts w:cs="Times New Roman"/>
        </w:rPr>
        <w:t xml:space="preserve">.  The </w:t>
      </w:r>
      <w:r w:rsidR="00D63B53" w:rsidRPr="00C3232C">
        <w:rPr>
          <w:rFonts w:cs="Times New Roman"/>
        </w:rPr>
        <w:t xml:space="preserve">SERO-LAPP-2014-09 analysis </w:t>
      </w:r>
      <w:r w:rsidRPr="00D63B53">
        <w:rPr>
          <w:rFonts w:cs="Times New Roman"/>
        </w:rPr>
        <w:t xml:space="preserve">indicates a </w:t>
      </w:r>
      <w:r w:rsidRPr="00D073BA">
        <w:rPr>
          <w:rFonts w:cs="Times New Roman"/>
        </w:rPr>
        <w:t>low increased entanglement risk in right whales off North Carolina and from South Carolina to Florida, for this alternative, relative to</w:t>
      </w:r>
      <w:r w:rsidRPr="00D073BA">
        <w:rPr>
          <w:rFonts w:cs="Times New Roman"/>
          <w:b/>
        </w:rPr>
        <w:t xml:space="preserve"> Alternative 1 (No Action)</w:t>
      </w:r>
      <w:r w:rsidRPr="00D073BA">
        <w:rPr>
          <w:rFonts w:cs="Times New Roman"/>
        </w:rPr>
        <w:t xml:space="preserve">.  </w:t>
      </w:r>
      <w:r w:rsidRPr="00D073BA">
        <w:rPr>
          <w:rFonts w:cs="Times New Roman"/>
          <w:b/>
        </w:rPr>
        <w:t>Alternative 12</w:t>
      </w:r>
      <w:r w:rsidRPr="00D073BA">
        <w:rPr>
          <w:rFonts w:cs="Times New Roman"/>
        </w:rPr>
        <w:t xml:space="preserve"> essentially “splits the difference” between the western boundaries of </w:t>
      </w:r>
      <w:r w:rsidRPr="00D073BA">
        <w:rPr>
          <w:rFonts w:cs="Times New Roman"/>
          <w:b/>
        </w:rPr>
        <w:t>Alternative 4</w:t>
      </w:r>
      <w:r w:rsidRPr="00D073BA">
        <w:rPr>
          <w:rFonts w:cs="Times New Roman"/>
        </w:rPr>
        <w:t xml:space="preserve"> and </w:t>
      </w:r>
      <w:r w:rsidRPr="00D073BA">
        <w:rPr>
          <w:rFonts w:cs="Times New Roman"/>
          <w:b/>
        </w:rPr>
        <w:t>8a</w:t>
      </w:r>
      <w:r w:rsidRPr="00D073BA">
        <w:rPr>
          <w:rFonts w:cs="Times New Roman"/>
        </w:rPr>
        <w:t xml:space="preserve">.  This closure </w:t>
      </w:r>
      <w:r w:rsidRPr="00D073BA">
        <w:rPr>
          <w:rFonts w:cs="Times New Roman"/>
        </w:rPr>
        <w:lastRenderedPageBreak/>
        <w:t xml:space="preserve">would implement a year round closure for the proposed area from November 1 through April 30.  This alternative considers the entire period when ESA-listed large whales may be in the southeastern United States (i.e., November 1 through April 30).  </w:t>
      </w:r>
    </w:p>
    <w:p w:rsidR="00AF014F" w:rsidRDefault="00AF014F" w:rsidP="00AF014F">
      <w:pPr>
        <w:ind w:firstLine="360"/>
      </w:pPr>
    </w:p>
    <w:p w:rsidR="00AF014F" w:rsidRPr="00AF014F" w:rsidRDefault="00AF014F" w:rsidP="00AF014F">
      <w:pPr>
        <w:rPr>
          <w:b/>
          <w:sz w:val="28"/>
          <w:szCs w:val="28"/>
        </w:rPr>
      </w:pPr>
      <w:r w:rsidRPr="00AF014F">
        <w:rPr>
          <w:b/>
          <w:sz w:val="28"/>
          <w:szCs w:val="28"/>
        </w:rPr>
        <w:t>Economic Effects:</w:t>
      </w:r>
    </w:p>
    <w:p w:rsidR="00AF014F" w:rsidRPr="00AF014F" w:rsidRDefault="00AF014F" w:rsidP="00AF014F">
      <w:pPr>
        <w:rPr>
          <w:b/>
        </w:rPr>
      </w:pPr>
    </w:p>
    <w:p w:rsidR="00363AEF" w:rsidRDefault="00363AEF" w:rsidP="00363AEF">
      <w:pPr>
        <w:ind w:firstLine="360"/>
      </w:pPr>
      <w:r>
        <w:t xml:space="preserve">The commercial black sea bass sector was closed prior to the end of the fishing year in 2008/2009, on May 15, 2009, when the commercial </w:t>
      </w:r>
      <w:r w:rsidR="002C2387">
        <w:t>annual catch limit (</w:t>
      </w:r>
      <w:r>
        <w:t>ACL</w:t>
      </w:r>
      <w:r w:rsidR="002C2387">
        <w:t>)</w:t>
      </w:r>
      <w:r>
        <w:t xml:space="preserve"> was met.  Prior to that season, the sector operated without closures.  </w:t>
      </w:r>
      <w:r>
        <w:rPr>
          <w:b/>
        </w:rPr>
        <w:t>Figure S-1</w:t>
      </w:r>
      <w:r>
        <w:t xml:space="preserve"> shows the average percent of total annual commercial black sea bass landings by month from June 2000 through May 2009, the most recent seasons prior to years when there were ACL-related closures.  When operating without closures, the months of June through September saw the fewest commercial landings of black sea bass, ranging from 2-4% each month, while landings tended to increase in November with an average of 11% of the landings.  However, fall through spring months saw the highest percentage of annual landings.  Highest average annual percentage of total landings occurred in December and January at approximately 18% in each month.</w:t>
      </w:r>
    </w:p>
    <w:p w:rsidR="00363AEF" w:rsidRDefault="00363AEF" w:rsidP="00363AEF">
      <w:r>
        <w:t xml:space="preserve"> </w:t>
      </w:r>
    </w:p>
    <w:p w:rsidR="00363AEF" w:rsidRPr="006E2C51" w:rsidRDefault="00363AEF" w:rsidP="00363AEF">
      <w:pPr>
        <w:rPr>
          <w:u w:val="single"/>
        </w:rPr>
      </w:pPr>
      <w:r>
        <w:rPr>
          <w:noProof/>
        </w:rPr>
        <w:drawing>
          <wp:inline distT="0" distB="0" distL="0" distR="0">
            <wp:extent cx="4572000" cy="2743200"/>
            <wp:effectExtent l="0" t="0" r="25400" b="2540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3AEF" w:rsidRPr="001268CD" w:rsidRDefault="00363AEF" w:rsidP="00363AEF">
      <w:pPr>
        <w:pStyle w:val="Figuretitle"/>
        <w:rPr>
          <w:rFonts w:ascii="Arial" w:hAnsi="Arial"/>
          <w:sz w:val="20"/>
        </w:rPr>
      </w:pPr>
      <w:bookmarkStart w:id="21" w:name="h.44sinio" w:colFirst="0" w:colLast="0"/>
      <w:bookmarkStart w:id="22" w:name="_Toc432070076"/>
      <w:bookmarkEnd w:id="21"/>
      <w:r>
        <w:rPr>
          <w:rFonts w:ascii="Arial" w:eastAsia="Arial" w:hAnsi="Arial" w:cs="Arial"/>
          <w:b/>
          <w:sz w:val="20"/>
          <w:szCs w:val="20"/>
        </w:rPr>
        <w:t xml:space="preserve">Figure S-1. </w:t>
      </w:r>
      <w:r>
        <w:rPr>
          <w:rFonts w:ascii="Arial" w:eastAsia="Arial" w:hAnsi="Arial" w:cs="Arial"/>
          <w:sz w:val="20"/>
          <w:szCs w:val="20"/>
        </w:rPr>
        <w:t xml:space="preserve"> </w:t>
      </w:r>
      <w:proofErr w:type="gramStart"/>
      <w:r>
        <w:rPr>
          <w:rFonts w:ascii="Arial" w:eastAsia="Arial" w:hAnsi="Arial" w:cs="Arial"/>
          <w:sz w:val="20"/>
          <w:szCs w:val="20"/>
        </w:rPr>
        <w:t>Percent of average annual commercial black sea bass landings by month from June 2000 through May 2009.</w:t>
      </w:r>
      <w:bookmarkEnd w:id="22"/>
      <w:proofErr w:type="gramEnd"/>
    </w:p>
    <w:p w:rsidR="00363AEF" w:rsidRPr="001268CD" w:rsidRDefault="00363AEF" w:rsidP="00363AEF">
      <w:pPr>
        <w:rPr>
          <w:sz w:val="20"/>
        </w:rPr>
      </w:pPr>
      <w:r>
        <w:rPr>
          <w:sz w:val="20"/>
          <w:szCs w:val="20"/>
        </w:rPr>
        <w:t>Source: SEFSC/SSRG Economic Panel Data</w:t>
      </w:r>
    </w:p>
    <w:p w:rsidR="00363AEF" w:rsidRDefault="00363AEF" w:rsidP="00363AEF"/>
    <w:p w:rsidR="00363AEF" w:rsidRPr="001268CD" w:rsidRDefault="00363AEF" w:rsidP="00363AEF">
      <w:pPr>
        <w:rPr>
          <w:b/>
          <w:u w:val="single"/>
        </w:rPr>
      </w:pPr>
      <w:r>
        <w:rPr>
          <w:b/>
          <w:u w:val="single"/>
        </w:rPr>
        <w:t>Expected dockside revenue of the commercial black sea bass portion of the snapper grouper fishery</w:t>
      </w:r>
    </w:p>
    <w:p w:rsidR="00363AEF" w:rsidRDefault="00363AEF" w:rsidP="00363AEF"/>
    <w:p w:rsidR="00363AEF" w:rsidRDefault="00363AEF" w:rsidP="00363AEF">
      <w:pPr>
        <w:ind w:firstLine="360"/>
      </w:pPr>
      <w:r>
        <w:t>This analysis of the expected ex-vessel revenue of the alternatives and applied scenarios assumes that consumer demand for black sea bass would at least remain constant regardless of when the fish would be landed.  At the very least, demand for black sea bass is assumed to be at the same level as in those years when no closures were in effect.</w:t>
      </w:r>
    </w:p>
    <w:p w:rsidR="00363AEF" w:rsidRDefault="00363AEF" w:rsidP="00363AEF">
      <w:pPr>
        <w:ind w:firstLine="360"/>
      </w:pPr>
    </w:p>
    <w:p w:rsidR="00363AEF" w:rsidRDefault="00363AEF" w:rsidP="00363AEF">
      <w:pPr>
        <w:ind w:firstLine="360"/>
      </w:pPr>
      <w:r>
        <w:t xml:space="preserve">An expected closure date alone does not give the best estimate of expected value because the price per pound changes from month to month and is influenced also by which gear is </w:t>
      </w:r>
      <w:r>
        <w:lastRenderedPageBreak/>
        <w:t xml:space="preserve">being used at the time.  The highest expected ex-vessel value will come when the expected landings are highest in months with the highest price per pound.  Various estimates of average monthly price per pound, daily expected catch rates, and anticipated closure dates were used to calculate estimated annual dockside values for black sea bass.  Estimates are shown for the four catch rate scenarios used in the </w:t>
      </w:r>
      <w:r w:rsidRPr="001268CD">
        <w:rPr>
          <w:rFonts w:ascii="TimesNewRomanPSMT" w:hAnsi="TimesNewRomanPSMT"/>
        </w:rPr>
        <w:t>SERO-LAPP-2014-09 (</w:t>
      </w:r>
      <w:r w:rsidRPr="00D073BA">
        <w:rPr>
          <w:rFonts w:ascii="TimesNewRomanPSMT" w:hAnsi="TimesNewRomanPSMT"/>
        </w:rPr>
        <w:t xml:space="preserve">Appendix </w:t>
      </w:r>
      <w:r w:rsidR="00D073BA" w:rsidRPr="00D073BA">
        <w:rPr>
          <w:rFonts w:ascii="TimesNewRomanPSMT" w:hAnsi="TimesNewRomanPSMT"/>
        </w:rPr>
        <w:t>N</w:t>
      </w:r>
      <w:r w:rsidRPr="001268CD">
        <w:rPr>
          <w:rFonts w:ascii="TimesNewRomanPSMT" w:hAnsi="TimesNewRomanPSMT"/>
        </w:rPr>
        <w:t>)</w:t>
      </w:r>
      <w:r w:rsidRPr="001268CD">
        <w:rPr>
          <w:rFonts w:ascii="TimesNewRomanPSMT" w:hAnsi="TimesNewRomanPSMT"/>
          <w:b/>
        </w:rPr>
        <w:t xml:space="preserve"> </w:t>
      </w:r>
      <w:r>
        <w:t xml:space="preserve">analysis and are based on the assumption that </w:t>
      </w:r>
      <w:r w:rsidRPr="001268CD">
        <w:rPr>
          <w:color w:val="000000"/>
        </w:rPr>
        <w:t xml:space="preserve">spatial location of gear in future years </w:t>
      </w:r>
      <w:r>
        <w:t xml:space="preserve">would </w:t>
      </w:r>
      <w:r w:rsidRPr="001268CD">
        <w:rPr>
          <w:color w:val="000000"/>
        </w:rPr>
        <w:t xml:space="preserve">mirror the average of the 2006/2007 through 2008/2009 fishing seasons where there was no closure in the commercial black sea bass season. </w:t>
      </w:r>
      <w:r>
        <w:t xml:space="preserve"> </w:t>
      </w:r>
      <w:r w:rsidRPr="001268CD">
        <w:rPr>
          <w:b/>
          <w:color w:val="000000"/>
        </w:rPr>
        <w:t>Table S-5</w:t>
      </w:r>
      <w:r w:rsidRPr="001268CD">
        <w:rPr>
          <w:color w:val="000000"/>
        </w:rPr>
        <w:t xml:space="preserve"> shows the differences in expected dockside values for </w:t>
      </w:r>
      <w:r w:rsidRPr="001268CD">
        <w:rPr>
          <w:b/>
          <w:color w:val="000000"/>
        </w:rPr>
        <w:t xml:space="preserve">Alternative 1 (No Action) </w:t>
      </w:r>
      <w:r w:rsidRPr="001268CD">
        <w:rPr>
          <w:color w:val="000000"/>
        </w:rPr>
        <w:t>subtracted from each of the</w:t>
      </w:r>
      <w:r w:rsidRPr="001268CD">
        <w:rPr>
          <w:b/>
          <w:color w:val="000000"/>
        </w:rPr>
        <w:t xml:space="preserve"> Alternatives 2 – 12 </w:t>
      </w:r>
      <w:r w:rsidRPr="001268CD">
        <w:rPr>
          <w:color w:val="000000"/>
        </w:rPr>
        <w:t>for all four catch rate scenarios based on monthly price per pound calcu</w:t>
      </w:r>
      <w:r>
        <w:t>lations for two different time series, 2000 – 2013 landings and 2011 – 2013 landings.</w:t>
      </w:r>
    </w:p>
    <w:p w:rsidR="00363AEF" w:rsidRDefault="00363AEF" w:rsidP="00363AEF">
      <w:pPr>
        <w:ind w:firstLine="360"/>
      </w:pPr>
    </w:p>
    <w:p w:rsidR="00363AEF" w:rsidRPr="003F12AB" w:rsidRDefault="00363AEF" w:rsidP="00363AEF">
      <w:pPr>
        <w:pStyle w:val="Tabletitle"/>
        <w:rPr>
          <w:b w:val="0"/>
        </w:rPr>
      </w:pPr>
      <w:bookmarkStart w:id="23" w:name="h.2jxsxqh" w:colFirst="0" w:colLast="0"/>
      <w:bookmarkStart w:id="24" w:name="_Toc432070182"/>
      <w:bookmarkEnd w:id="23"/>
      <w:proofErr w:type="gramStart"/>
      <w:r w:rsidRPr="0040662D">
        <w:rPr>
          <w:rFonts w:eastAsia="Arial"/>
        </w:rPr>
        <w:t xml:space="preserve">Table </w:t>
      </w:r>
      <w:r w:rsidRPr="00D923B2">
        <w:rPr>
          <w:rFonts w:eastAsia="Arial"/>
        </w:rPr>
        <w:t>S-5.</w:t>
      </w:r>
      <w:proofErr w:type="gramEnd"/>
      <w:r w:rsidRPr="0040662D">
        <w:rPr>
          <w:rFonts w:eastAsia="Arial"/>
        </w:rPr>
        <w:t xml:space="preserve"> </w:t>
      </w:r>
      <w:r w:rsidRPr="003F12AB">
        <w:rPr>
          <w:rFonts w:eastAsia="Arial"/>
          <w:b w:val="0"/>
        </w:rPr>
        <w:t xml:space="preserve">Expected difference in dockside value of commercial black sea bass under the alternatives of </w:t>
      </w:r>
      <w:r w:rsidRPr="00D073BA">
        <w:rPr>
          <w:rFonts w:eastAsia="Arial" w:cs="Arial"/>
        </w:rPr>
        <w:t>Action 1</w:t>
      </w:r>
      <w:r w:rsidRPr="003F12AB">
        <w:rPr>
          <w:rFonts w:eastAsia="Arial"/>
          <w:b w:val="0"/>
        </w:rPr>
        <w:t xml:space="preserve"> compared to </w:t>
      </w:r>
      <w:r w:rsidRPr="00D073BA">
        <w:rPr>
          <w:rFonts w:eastAsia="Arial" w:cs="Arial"/>
        </w:rPr>
        <w:t>Alternative 1 (No Action)</w:t>
      </w:r>
      <w:r w:rsidRPr="003F12AB">
        <w:rPr>
          <w:rFonts w:eastAsia="Arial"/>
          <w:b w:val="0"/>
        </w:rPr>
        <w:t xml:space="preserve"> using two price per pound estimates, the four different catch rate scenarios </w:t>
      </w:r>
      <w:r w:rsidRPr="003F12AB">
        <w:rPr>
          <w:rFonts w:eastAsia="Arial" w:cs="Arial"/>
          <w:b w:val="0"/>
        </w:rPr>
        <w:t>(</w:t>
      </w:r>
      <w:r w:rsidRPr="00D073BA">
        <w:rPr>
          <w:rFonts w:eastAsia="Arial" w:cs="Arial"/>
          <w:b w:val="0"/>
        </w:rPr>
        <w:t>Appendix N</w:t>
      </w:r>
      <w:r w:rsidRPr="003F12AB">
        <w:rPr>
          <w:rFonts w:eastAsia="Arial" w:cs="Arial"/>
          <w:b w:val="0"/>
        </w:rPr>
        <w:t>)</w:t>
      </w:r>
      <w:r w:rsidRPr="003F12AB">
        <w:rPr>
          <w:rFonts w:eastAsia="Arial"/>
          <w:b w:val="0"/>
        </w:rPr>
        <w:t xml:space="preserve">, and estimations of spatial locations of gear based on the 2006/2007 through 2008/2009 fishing seasons (Scenario C; </w:t>
      </w:r>
      <w:r w:rsidRPr="00D073BA">
        <w:rPr>
          <w:rFonts w:eastAsia="Arial" w:cs="Arial"/>
          <w:b w:val="0"/>
        </w:rPr>
        <w:t>Appendix N</w:t>
      </w:r>
      <w:r w:rsidRPr="003F12AB">
        <w:rPr>
          <w:rFonts w:eastAsia="Arial"/>
          <w:b w:val="0"/>
        </w:rPr>
        <w:t>).</w:t>
      </w:r>
      <w:bookmarkEnd w:id="24"/>
      <w:r w:rsidRPr="003F12AB" w:rsidDel="006A5584">
        <w:rPr>
          <w:b w:val="0"/>
        </w:rPr>
        <w:t xml:space="preserve"> </w:t>
      </w:r>
    </w:p>
    <w:tbl>
      <w:tblPr>
        <w:tblW w:w="5000" w:type="pct"/>
        <w:tblLook w:val="04A0"/>
      </w:tblPr>
      <w:tblGrid>
        <w:gridCol w:w="2256"/>
        <w:gridCol w:w="1573"/>
        <w:gridCol w:w="1392"/>
        <w:gridCol w:w="1392"/>
        <w:gridCol w:w="1392"/>
        <w:gridCol w:w="1391"/>
      </w:tblGrid>
      <w:tr w:rsidR="00363AEF" w:rsidTr="00363AEF">
        <w:trPr>
          <w:trHeight w:val="20"/>
        </w:trPr>
        <w:tc>
          <w:tcPr>
            <w:tcW w:w="1200" w:type="pct"/>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63AEF" w:rsidRDefault="00363AEF" w:rsidP="00363AEF">
            <w:pPr>
              <w:rPr>
                <w:rFonts w:ascii="Calibri" w:hAnsi="Calibri"/>
                <w:color w:val="000000"/>
                <w:sz w:val="20"/>
                <w:szCs w:val="20"/>
              </w:rPr>
            </w:pPr>
            <w:r>
              <w:rPr>
                <w:rFonts w:ascii="Calibri" w:hAnsi="Calibri"/>
                <w:color w:val="000000"/>
                <w:sz w:val="20"/>
                <w:szCs w:val="20"/>
              </w:rPr>
              <w:t> </w:t>
            </w:r>
          </w:p>
        </w:tc>
        <w:tc>
          <w:tcPr>
            <w:tcW w:w="837" w:type="pct"/>
            <w:tcBorders>
              <w:top w:val="single" w:sz="8" w:space="0" w:color="auto"/>
              <w:left w:val="nil"/>
              <w:bottom w:val="nil"/>
              <w:right w:val="nil"/>
            </w:tcBorders>
            <w:shd w:val="clear" w:color="000000" w:fill="C5D9F1"/>
            <w:noWrap/>
            <w:vAlign w:val="center"/>
            <w:hideMark/>
          </w:tcPr>
          <w:p w:rsidR="00363AEF" w:rsidRDefault="00363AEF" w:rsidP="00363AEF">
            <w:pPr>
              <w:rPr>
                <w:rFonts w:ascii="Calibri" w:hAnsi="Calibri"/>
                <w:b/>
                <w:bCs/>
                <w:color w:val="000000"/>
                <w:sz w:val="20"/>
                <w:szCs w:val="20"/>
              </w:rPr>
            </w:pPr>
            <w:r>
              <w:rPr>
                <w:rFonts w:ascii="Calibri" w:hAnsi="Calibri"/>
                <w:b/>
                <w:bCs/>
                <w:color w:val="000000"/>
                <w:sz w:val="20"/>
                <w:szCs w:val="20"/>
              </w:rPr>
              <w:t>Price/lb years</w:t>
            </w:r>
          </w:p>
        </w:tc>
        <w:tc>
          <w:tcPr>
            <w:tcW w:w="741" w:type="pct"/>
            <w:tcBorders>
              <w:top w:val="single" w:sz="8" w:space="0" w:color="auto"/>
              <w:left w:val="single" w:sz="8" w:space="0" w:color="auto"/>
              <w:bottom w:val="single" w:sz="8" w:space="0" w:color="auto"/>
              <w:right w:val="nil"/>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1</w:t>
            </w:r>
          </w:p>
        </w:tc>
        <w:tc>
          <w:tcPr>
            <w:tcW w:w="741" w:type="pct"/>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2</w:t>
            </w:r>
          </w:p>
        </w:tc>
        <w:tc>
          <w:tcPr>
            <w:tcW w:w="741" w:type="pct"/>
            <w:tcBorders>
              <w:top w:val="single" w:sz="8" w:space="0" w:color="auto"/>
              <w:left w:val="nil"/>
              <w:bottom w:val="single" w:sz="8" w:space="0" w:color="auto"/>
              <w:right w:val="nil"/>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3</w:t>
            </w:r>
          </w:p>
        </w:tc>
        <w:tc>
          <w:tcPr>
            <w:tcW w:w="741" w:type="pct"/>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4</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2</w:t>
            </w:r>
          </w:p>
        </w:tc>
        <w:tc>
          <w:tcPr>
            <w:tcW w:w="837"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$55,579 </w:t>
            </w:r>
          </w:p>
        </w:tc>
        <w:tc>
          <w:tcPr>
            <w:tcW w:w="741"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$41,654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$54,865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$59,233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$56,344 </w:t>
            </w:r>
          </w:p>
        </w:tc>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$43,028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$55,362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$59,967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3</w:t>
            </w: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$48,666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$57,925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$53,395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$50,417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$49,040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$58,597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$53,638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$50,776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4</w:t>
            </w:r>
          </w:p>
        </w:tc>
        <w:tc>
          <w:tcPr>
            <w:tcW w:w="837"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$43,849 </w:t>
            </w:r>
          </w:p>
        </w:tc>
        <w:tc>
          <w:tcPr>
            <w:tcW w:w="741"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$44,929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$46,574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$43,207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$44,042 </w:t>
            </w:r>
          </w:p>
        </w:tc>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$45,276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$46,699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$43,393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5</w:t>
            </w: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$44,747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$48,036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$45,777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$45,404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$44,967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$48,431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$45,920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$45,616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6</w:t>
            </w:r>
          </w:p>
        </w:tc>
        <w:tc>
          <w:tcPr>
            <w:tcW w:w="837"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$44,488 </w:t>
            </w:r>
          </w:p>
        </w:tc>
        <w:tc>
          <w:tcPr>
            <w:tcW w:w="741"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$45,844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$41,955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$43,936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$44,682 </w:t>
            </w:r>
          </w:p>
        </w:tc>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$46,194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$42,082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$44,123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7a</w:t>
            </w: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$54,285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$45,784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$56,192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$57,759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$55,050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$47,158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$56,690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$58,494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7b</w:t>
            </w:r>
          </w:p>
        </w:tc>
        <w:tc>
          <w:tcPr>
            <w:tcW w:w="837"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$53,721 </w:t>
            </w:r>
          </w:p>
        </w:tc>
        <w:tc>
          <w:tcPr>
            <w:tcW w:w="741"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$44,771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$55,776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$57,106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$54,486 </w:t>
            </w:r>
          </w:p>
        </w:tc>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$46,144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$56,273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$57,840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7c</w:t>
            </w: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$50,866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$48,204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$50,690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$50,188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$51,631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$49,578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$51,188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$50,923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8a</w:t>
            </w:r>
          </w:p>
        </w:tc>
        <w:tc>
          <w:tcPr>
            <w:tcW w:w="837"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$43,933 </w:t>
            </w:r>
          </w:p>
        </w:tc>
        <w:tc>
          <w:tcPr>
            <w:tcW w:w="741"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$52,528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$50,096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$46,268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$44,230 </w:t>
            </w:r>
          </w:p>
        </w:tc>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$53,061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$50,288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$46,553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8b</w:t>
            </w: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$50,933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$48,325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$50,797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$50,256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$51,698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$49,698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$51,295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$50,990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9a</w:t>
            </w:r>
          </w:p>
        </w:tc>
        <w:tc>
          <w:tcPr>
            <w:tcW w:w="837"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$51,312 </w:t>
            </w:r>
          </w:p>
        </w:tc>
        <w:tc>
          <w:tcPr>
            <w:tcW w:w="741"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$55,582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$56,634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$52,214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$51,812 </w:t>
            </w:r>
          </w:p>
        </w:tc>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$56,480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$56,960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$52,694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9b</w:t>
            </w: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$54,038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$47,112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$53,751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$55,192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$54,803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$48,485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$54,248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$55,926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10</w:t>
            </w:r>
          </w:p>
        </w:tc>
        <w:tc>
          <w:tcPr>
            <w:tcW w:w="837"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$50,933 </w:t>
            </w:r>
          </w:p>
        </w:tc>
        <w:tc>
          <w:tcPr>
            <w:tcW w:w="741"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$48,325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$50,797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$50,256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$51,698 </w:t>
            </w:r>
          </w:p>
        </w:tc>
        <w:tc>
          <w:tcPr>
            <w:tcW w:w="741"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$49,698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$51,295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$50,990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F13301" w:rsidP="00363AEF">
            <w:pPr>
              <w:jc w:val="center"/>
              <w:rPr>
                <w:rFonts w:ascii="Calibri" w:hAnsi="Calibri"/>
                <w:b/>
                <w:bCs/>
                <w:color w:val="000000"/>
                <w:sz w:val="20"/>
                <w:szCs w:val="20"/>
              </w:rPr>
            </w:pPr>
            <w:r>
              <w:rPr>
                <w:rFonts w:ascii="Calibri" w:hAnsi="Calibri"/>
                <w:b/>
                <w:bCs/>
                <w:color w:val="000000"/>
                <w:sz w:val="20"/>
                <w:szCs w:val="20"/>
              </w:rPr>
              <w:t xml:space="preserve">Preferred </w:t>
            </w:r>
            <w:r w:rsidR="00363AEF">
              <w:rPr>
                <w:rFonts w:ascii="Calibri" w:hAnsi="Calibri"/>
                <w:b/>
                <w:bCs/>
                <w:color w:val="000000"/>
                <w:sz w:val="20"/>
                <w:szCs w:val="20"/>
              </w:rPr>
              <w:t>Alternative 11</w:t>
            </w: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$45,640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$43,541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$45,570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$46,367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$45,834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$43,889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$45,696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$46,553 </w:t>
            </w:r>
          </w:p>
        </w:tc>
      </w:tr>
      <w:tr w:rsidR="00363AEF" w:rsidTr="00363AEF">
        <w:trPr>
          <w:trHeight w:val="20"/>
        </w:trPr>
        <w:tc>
          <w:tcPr>
            <w:tcW w:w="1200"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12</w:t>
            </w:r>
          </w:p>
        </w:tc>
        <w:tc>
          <w:tcPr>
            <w:tcW w:w="837"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$45,723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$48,492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$44,941 </w:t>
            </w:r>
          </w:p>
        </w:tc>
        <w:tc>
          <w:tcPr>
            <w:tcW w:w="741"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$46,941 </w:t>
            </w:r>
          </w:p>
        </w:tc>
      </w:tr>
      <w:tr w:rsidR="00363AEF" w:rsidTr="00363AEF">
        <w:trPr>
          <w:trHeight w:val="20"/>
        </w:trPr>
        <w:tc>
          <w:tcPr>
            <w:tcW w:w="1200"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37"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$45,956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$48,911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$45,093 </w:t>
            </w:r>
          </w:p>
        </w:tc>
        <w:tc>
          <w:tcPr>
            <w:tcW w:w="741"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$47,165 </w:t>
            </w:r>
          </w:p>
        </w:tc>
      </w:tr>
    </w:tbl>
    <w:p w:rsidR="00363AEF" w:rsidRDefault="00363AEF" w:rsidP="00363AEF"/>
    <w:p w:rsidR="00363AEF" w:rsidRDefault="00363AEF" w:rsidP="00363AEF">
      <w:pPr>
        <w:ind w:firstLine="360"/>
      </w:pPr>
      <w:r>
        <w:t xml:space="preserve">The various alternatives and sub-alternatives of </w:t>
      </w:r>
      <w:r>
        <w:rPr>
          <w:b/>
        </w:rPr>
        <w:t>Action 1</w:t>
      </w:r>
      <w:r>
        <w:t xml:space="preserve"> shift the balance among the gear that can harvest black sea bass.  While </w:t>
      </w:r>
      <w:r>
        <w:rPr>
          <w:b/>
        </w:rPr>
        <w:t>Table S-5</w:t>
      </w:r>
      <w:r>
        <w:t xml:space="preserve"> showed total expected differences in values for all the alternatives/sub-alternatives for each of the four catch rates estimated compared to </w:t>
      </w:r>
      <w:r>
        <w:rPr>
          <w:b/>
        </w:rPr>
        <w:t>Alternative 1 (No Action)</w:t>
      </w:r>
      <w:r w:rsidR="00D073BA">
        <w:t>,</w:t>
      </w:r>
      <w:r>
        <w:t xml:space="preserve"> </w:t>
      </w:r>
      <w:r>
        <w:rPr>
          <w:b/>
        </w:rPr>
        <w:t>Table S-6</w:t>
      </w:r>
      <w:r>
        <w:t xml:space="preserve"> shows the expected </w:t>
      </w:r>
      <w:r w:rsidRPr="001268CD">
        <w:rPr>
          <w:color w:val="000000"/>
        </w:rPr>
        <w:t>dockside values based on monthly price per pound calcu</w:t>
      </w:r>
      <w:r>
        <w:t xml:space="preserve">lations based two different time series, 2000 – 2013 landings and 2011 – 2013 landings, but just for pot landings.  </w:t>
      </w:r>
      <w:r>
        <w:rPr>
          <w:b/>
        </w:rPr>
        <w:t>Table S-7</w:t>
      </w:r>
      <w:r>
        <w:t xml:space="preserve"> is similar to </w:t>
      </w:r>
      <w:r>
        <w:rPr>
          <w:b/>
        </w:rPr>
        <w:t>Table S-6</w:t>
      </w:r>
      <w:r>
        <w:t xml:space="preserve">, but includes only the value of landings for all non-pot gear landings.  And by way of comparison, </w:t>
      </w:r>
      <w:r>
        <w:rPr>
          <w:b/>
        </w:rPr>
        <w:t>Table S-</w:t>
      </w:r>
      <w:r w:rsidR="00D073BA">
        <w:rPr>
          <w:b/>
        </w:rPr>
        <w:t>8</w:t>
      </w:r>
      <w:r>
        <w:t xml:space="preserve"> shows the estimated percent of total landings by pot gear for the alternatives/sub-alternatives and for each of the four catch rate scenarios.</w:t>
      </w:r>
    </w:p>
    <w:p w:rsidR="00363AEF" w:rsidRDefault="00363AEF" w:rsidP="00363AEF"/>
    <w:p w:rsidR="00363AEF" w:rsidRDefault="00363AEF" w:rsidP="00363AEF">
      <w:pPr>
        <w:pStyle w:val="Tabletitle"/>
      </w:pPr>
      <w:bookmarkStart w:id="25" w:name="h.z337ya" w:colFirst="0" w:colLast="0"/>
      <w:bookmarkStart w:id="26" w:name="_Toc432070183"/>
      <w:bookmarkEnd w:id="25"/>
      <w:proofErr w:type="gramStart"/>
      <w:r w:rsidRPr="0040662D">
        <w:rPr>
          <w:rFonts w:eastAsia="Arial"/>
        </w:rPr>
        <w:t>Ta</w:t>
      </w:r>
      <w:r w:rsidRPr="00D923B2">
        <w:rPr>
          <w:rFonts w:eastAsia="Arial"/>
        </w:rPr>
        <w:t>ble S-6.</w:t>
      </w:r>
      <w:proofErr w:type="gramEnd"/>
      <w:r w:rsidRPr="00D923B2">
        <w:rPr>
          <w:rFonts w:eastAsia="Arial"/>
        </w:rPr>
        <w:t xml:space="preserve"> </w:t>
      </w:r>
      <w:r>
        <w:rPr>
          <w:rFonts w:eastAsia="Arial" w:cs="Arial"/>
        </w:rPr>
        <w:t xml:space="preserve"> </w:t>
      </w:r>
      <w:r w:rsidRPr="001268CD">
        <w:rPr>
          <w:rFonts w:eastAsia="Arial"/>
          <w:b w:val="0"/>
        </w:rPr>
        <w:t xml:space="preserve">Expected dockside value of commercial black sea bass using pot gear only under the alternatives of </w:t>
      </w:r>
      <w:r>
        <w:rPr>
          <w:rFonts w:eastAsia="Arial" w:cs="Arial"/>
        </w:rPr>
        <w:t>Action 1</w:t>
      </w:r>
      <w:r w:rsidRPr="001268CD">
        <w:rPr>
          <w:rFonts w:eastAsia="Arial"/>
          <w:b w:val="0"/>
        </w:rPr>
        <w:t xml:space="preserve"> using two price per pound estimates, the four different catch rate scenarios </w:t>
      </w:r>
      <w:r>
        <w:rPr>
          <w:rFonts w:eastAsia="Arial" w:cs="Arial"/>
        </w:rPr>
        <w:t>(Appendix N)</w:t>
      </w:r>
      <w:r w:rsidRPr="001268CD">
        <w:rPr>
          <w:rFonts w:eastAsia="Arial"/>
          <w:b w:val="0"/>
        </w:rPr>
        <w:t xml:space="preserve">, and estimations of spatial locations of gear based on the 2006/2007 through 2008/2009 fishing seasons (Scenario C; </w:t>
      </w:r>
      <w:r>
        <w:rPr>
          <w:rFonts w:eastAsia="Arial" w:cs="Arial"/>
        </w:rPr>
        <w:t>Appendix N</w:t>
      </w:r>
      <w:r w:rsidRPr="001268CD">
        <w:rPr>
          <w:rFonts w:eastAsia="Arial"/>
          <w:b w:val="0"/>
        </w:rPr>
        <w:t>).</w:t>
      </w:r>
      <w:bookmarkEnd w:id="26"/>
    </w:p>
    <w:tbl>
      <w:tblPr>
        <w:tblW w:w="5000" w:type="pct"/>
        <w:tblLook w:val="04A0"/>
      </w:tblPr>
      <w:tblGrid>
        <w:gridCol w:w="2572"/>
        <w:gridCol w:w="1644"/>
        <w:gridCol w:w="1295"/>
        <w:gridCol w:w="1295"/>
        <w:gridCol w:w="1295"/>
        <w:gridCol w:w="1295"/>
      </w:tblGrid>
      <w:tr w:rsidR="00363AEF" w:rsidTr="00363AEF">
        <w:trPr>
          <w:trHeight w:val="20"/>
        </w:trPr>
        <w:tc>
          <w:tcPr>
            <w:tcW w:w="1369" w:type="pct"/>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63AEF" w:rsidRDefault="00363AEF" w:rsidP="00363AEF">
            <w:pPr>
              <w:rPr>
                <w:rFonts w:ascii="Calibri" w:hAnsi="Calibri"/>
                <w:color w:val="000000"/>
                <w:sz w:val="20"/>
                <w:szCs w:val="20"/>
              </w:rPr>
            </w:pPr>
            <w:r>
              <w:rPr>
                <w:rFonts w:ascii="Calibri" w:hAnsi="Calibri"/>
                <w:color w:val="000000"/>
                <w:sz w:val="20"/>
                <w:szCs w:val="20"/>
              </w:rPr>
              <w:t> </w:t>
            </w:r>
          </w:p>
        </w:tc>
        <w:tc>
          <w:tcPr>
            <w:tcW w:w="875" w:type="pct"/>
            <w:tcBorders>
              <w:top w:val="single" w:sz="8" w:space="0" w:color="auto"/>
              <w:left w:val="nil"/>
              <w:bottom w:val="nil"/>
              <w:right w:val="nil"/>
            </w:tcBorders>
            <w:shd w:val="clear" w:color="000000" w:fill="C5D9F1"/>
            <w:noWrap/>
            <w:vAlign w:val="center"/>
            <w:hideMark/>
          </w:tcPr>
          <w:p w:rsidR="00363AEF" w:rsidRDefault="00363AEF" w:rsidP="00363AEF">
            <w:pPr>
              <w:rPr>
                <w:rFonts w:ascii="Calibri" w:hAnsi="Calibri"/>
                <w:b/>
                <w:bCs/>
                <w:color w:val="000000"/>
                <w:sz w:val="20"/>
                <w:szCs w:val="20"/>
              </w:rPr>
            </w:pPr>
            <w:r>
              <w:rPr>
                <w:rFonts w:ascii="Calibri" w:hAnsi="Calibri"/>
                <w:b/>
                <w:bCs/>
                <w:color w:val="000000"/>
                <w:sz w:val="20"/>
                <w:szCs w:val="20"/>
              </w:rPr>
              <w:t>Price/lb years</w:t>
            </w:r>
          </w:p>
        </w:tc>
        <w:tc>
          <w:tcPr>
            <w:tcW w:w="689" w:type="pct"/>
            <w:tcBorders>
              <w:top w:val="single" w:sz="8" w:space="0" w:color="auto"/>
              <w:left w:val="single" w:sz="8" w:space="0" w:color="auto"/>
              <w:bottom w:val="single" w:sz="8" w:space="0" w:color="auto"/>
              <w:right w:val="nil"/>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1</w:t>
            </w:r>
          </w:p>
        </w:tc>
        <w:tc>
          <w:tcPr>
            <w:tcW w:w="689" w:type="pct"/>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2</w:t>
            </w:r>
          </w:p>
        </w:tc>
        <w:tc>
          <w:tcPr>
            <w:tcW w:w="689" w:type="pct"/>
            <w:tcBorders>
              <w:top w:val="single" w:sz="8" w:space="0" w:color="auto"/>
              <w:left w:val="nil"/>
              <w:bottom w:val="single" w:sz="8" w:space="0" w:color="auto"/>
              <w:right w:val="nil"/>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3</w:t>
            </w:r>
          </w:p>
        </w:tc>
        <w:tc>
          <w:tcPr>
            <w:tcW w:w="689" w:type="pct"/>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4</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1</w:t>
            </w:r>
          </w:p>
        </w:tc>
        <w:tc>
          <w:tcPr>
            <w:tcW w:w="875"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$462,689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$462,689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$462,689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$462,689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$488,456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$488,456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$488,456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$488,456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2</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$724,469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$831,939 </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$745,783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$737,062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$832,095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$996,907 </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$887,610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$850,222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3</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$664,496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$723,896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$687,255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$668,844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$760,533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$837,248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$803,188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$761,967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4</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$565,101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$629,624 </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$611,748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$569,339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$634,498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$721,730 </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$711,203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$640,319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5</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$585,520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$662,012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$635,352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$591,058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$660,970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$761,957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$741,575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$668,001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6</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$565,739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$630,539 </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$612,009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$570,068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$635,344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$722,853 </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$711,270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$641,314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7a</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$710,039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$804,150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$719,244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$719,351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$812,133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$956,191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$846,533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$824,560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7b</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$709,475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$803,136 </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$718,827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$718,698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$811,393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$954,861 </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$845,993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$823,700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7c</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$689,105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$765,302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$699,146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$692,806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$781,711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$896,229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$818,255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$786,332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8a</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$628,628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$695,146 </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$672,231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$635,843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$715,341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$797,732 </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$784,537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$723,297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8b</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$689,172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$765,422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$699,253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$692,874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$781,793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$896,375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$818,385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$786,414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9a</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$682,253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$755,850 </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$709,469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$688,993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$774,717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$884,926 </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$834,595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$783,398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9b</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$703,954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$791,798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$716,802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$710,946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$802,711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$936,438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$843,331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$811,997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10</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$689,172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$765,422 </w:t>
            </w:r>
          </w:p>
        </w:tc>
        <w:tc>
          <w:tcPr>
            <w:tcW w:w="689" w:type="pct"/>
            <w:tcBorders>
              <w:top w:val="single" w:sz="8" w:space="0" w:color="auto"/>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$699,253 </w:t>
            </w:r>
          </w:p>
        </w:tc>
        <w:tc>
          <w:tcPr>
            <w:tcW w:w="689" w:type="pct"/>
            <w:tcBorders>
              <w:top w:val="single" w:sz="8" w:space="0" w:color="auto"/>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$692,874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$781,793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$896,375 </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$818,385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$786,414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F13301" w:rsidP="00363AEF">
            <w:pPr>
              <w:jc w:val="center"/>
              <w:rPr>
                <w:rFonts w:ascii="Calibri" w:hAnsi="Calibri"/>
                <w:b/>
                <w:bCs/>
                <w:color w:val="000000"/>
                <w:sz w:val="20"/>
                <w:szCs w:val="20"/>
              </w:rPr>
            </w:pPr>
            <w:r>
              <w:rPr>
                <w:rFonts w:ascii="Calibri" w:hAnsi="Calibri"/>
                <w:b/>
                <w:bCs/>
                <w:color w:val="000000"/>
                <w:sz w:val="20"/>
                <w:szCs w:val="20"/>
              </w:rPr>
              <w:t xml:space="preserve">Preferred </w:t>
            </w:r>
            <w:r w:rsidR="00363AEF">
              <w:rPr>
                <w:rFonts w:ascii="Calibri" w:hAnsi="Calibri"/>
                <w:b/>
                <w:bCs/>
                <w:color w:val="000000"/>
                <w:sz w:val="20"/>
                <w:szCs w:val="20"/>
              </w:rPr>
              <w:t>Alternative 11</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$576,653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$647,757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$635,145 </w:t>
            </w:r>
          </w:p>
        </w:tc>
        <w:tc>
          <w:tcPr>
            <w:tcW w:w="68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$582,260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$652,062 </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$748,810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$743,778 </w:t>
            </w:r>
          </w:p>
        </w:tc>
        <w:tc>
          <w:tcPr>
            <w:tcW w:w="68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$659,166 </w:t>
            </w:r>
          </w:p>
        </w:tc>
      </w:tr>
      <w:tr w:rsidR="00363AEF" w:rsidTr="00363AEF">
        <w:trPr>
          <w:trHeight w:val="20"/>
        </w:trPr>
        <w:tc>
          <w:tcPr>
            <w:tcW w:w="1369"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12</w:t>
            </w:r>
          </w:p>
        </w:tc>
        <w:tc>
          <w:tcPr>
            <w:tcW w:w="875"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68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$591,376 </w:t>
            </w:r>
          </w:p>
        </w:tc>
        <w:tc>
          <w:tcPr>
            <w:tcW w:w="68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$666,177 </w:t>
            </w:r>
          </w:p>
        </w:tc>
        <w:tc>
          <w:tcPr>
            <w:tcW w:w="68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$639,396 </w:t>
            </w:r>
          </w:p>
        </w:tc>
        <w:tc>
          <w:tcPr>
            <w:tcW w:w="68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$597,474 </w:t>
            </w:r>
          </w:p>
        </w:tc>
      </w:tr>
      <w:tr w:rsidR="00363AEF" w:rsidTr="00363AEF">
        <w:trPr>
          <w:trHeight w:val="20"/>
        </w:trPr>
        <w:tc>
          <w:tcPr>
            <w:tcW w:w="1369"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75"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68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$668,430 </w:t>
            </w:r>
          </w:p>
        </w:tc>
        <w:tc>
          <w:tcPr>
            <w:tcW w:w="689" w:type="pct"/>
            <w:tcBorders>
              <w:top w:val="nil"/>
              <w:left w:val="nil"/>
              <w:bottom w:val="single" w:sz="8" w:space="0" w:color="auto"/>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$764,288 </w:t>
            </w:r>
          </w:p>
        </w:tc>
        <w:tc>
          <w:tcPr>
            <w:tcW w:w="68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$746,439 </w:t>
            </w:r>
          </w:p>
        </w:tc>
        <w:tc>
          <w:tcPr>
            <w:tcW w:w="68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$676,231 </w:t>
            </w:r>
          </w:p>
        </w:tc>
      </w:tr>
    </w:tbl>
    <w:p w:rsidR="00363AEF" w:rsidRDefault="00363AEF" w:rsidP="00363AEF">
      <w:pPr>
        <w:pStyle w:val="Tabletitle"/>
      </w:pPr>
      <w:bookmarkStart w:id="27" w:name="h.3j2qqm3" w:colFirst="0" w:colLast="0"/>
      <w:bookmarkStart w:id="28" w:name="_Toc432070184"/>
      <w:bookmarkEnd w:id="27"/>
      <w:proofErr w:type="gramStart"/>
      <w:r w:rsidRPr="0040662D">
        <w:rPr>
          <w:rFonts w:eastAsia="Arial"/>
        </w:rPr>
        <w:lastRenderedPageBreak/>
        <w:t xml:space="preserve">Table </w:t>
      </w:r>
      <w:r w:rsidRPr="00D923B2">
        <w:rPr>
          <w:rFonts w:eastAsia="Arial"/>
        </w:rPr>
        <w:t>S-7.</w:t>
      </w:r>
      <w:proofErr w:type="gramEnd"/>
      <w:r w:rsidRPr="00D923B2">
        <w:rPr>
          <w:rFonts w:eastAsia="Arial"/>
        </w:rPr>
        <w:t xml:space="preserve"> </w:t>
      </w:r>
      <w:r>
        <w:rPr>
          <w:rFonts w:eastAsia="Arial" w:cs="Arial"/>
        </w:rPr>
        <w:t xml:space="preserve"> </w:t>
      </w:r>
      <w:r w:rsidRPr="001268CD">
        <w:rPr>
          <w:rFonts w:eastAsia="Arial"/>
          <w:b w:val="0"/>
        </w:rPr>
        <w:t>Expected dockside value of commercial bla</w:t>
      </w:r>
      <w:r>
        <w:rPr>
          <w:rFonts w:eastAsia="Arial"/>
          <w:b w:val="0"/>
        </w:rPr>
        <w:t xml:space="preserve">ck sea bass using non-pot gear </w:t>
      </w:r>
      <w:r w:rsidRPr="001268CD">
        <w:rPr>
          <w:rFonts w:eastAsia="Arial"/>
          <w:b w:val="0"/>
        </w:rPr>
        <w:t xml:space="preserve">under the alternatives of </w:t>
      </w:r>
      <w:r>
        <w:rPr>
          <w:rFonts w:eastAsia="Arial" w:cs="Arial"/>
        </w:rPr>
        <w:t xml:space="preserve">Action 1 </w:t>
      </w:r>
      <w:r w:rsidRPr="001268CD">
        <w:rPr>
          <w:rFonts w:eastAsia="Arial"/>
          <w:b w:val="0"/>
        </w:rPr>
        <w:t xml:space="preserve">using two price per pound estimates, the four different catch rate scenarios </w:t>
      </w:r>
      <w:r>
        <w:rPr>
          <w:rFonts w:eastAsia="Arial" w:cs="Arial"/>
        </w:rPr>
        <w:t>(Appendix N)</w:t>
      </w:r>
      <w:r w:rsidRPr="001268CD">
        <w:rPr>
          <w:rFonts w:eastAsia="Arial"/>
          <w:b w:val="0"/>
        </w:rPr>
        <w:t xml:space="preserve">, and estimations of spatial locations of gear based on the 2006/2007 through 2008/2009 fishing seasons (Scenario C; </w:t>
      </w:r>
      <w:r>
        <w:rPr>
          <w:rFonts w:eastAsia="Arial" w:cs="Arial"/>
        </w:rPr>
        <w:t>Appendix N</w:t>
      </w:r>
      <w:r w:rsidRPr="001268CD">
        <w:rPr>
          <w:rFonts w:eastAsia="Arial"/>
          <w:b w:val="0"/>
        </w:rPr>
        <w:t>).</w:t>
      </w:r>
      <w:bookmarkEnd w:id="28"/>
    </w:p>
    <w:tbl>
      <w:tblPr>
        <w:tblW w:w="5000" w:type="pct"/>
        <w:tblLook w:val="04A0"/>
      </w:tblPr>
      <w:tblGrid>
        <w:gridCol w:w="2233"/>
        <w:gridCol w:w="1545"/>
        <w:gridCol w:w="1405"/>
        <w:gridCol w:w="1405"/>
        <w:gridCol w:w="1406"/>
        <w:gridCol w:w="1402"/>
      </w:tblGrid>
      <w:tr w:rsidR="00363AEF" w:rsidTr="00363AEF">
        <w:trPr>
          <w:trHeight w:val="20"/>
        </w:trPr>
        <w:tc>
          <w:tcPr>
            <w:tcW w:w="1182" w:type="pct"/>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63AEF" w:rsidRDefault="00363AEF" w:rsidP="00363AEF">
            <w:pPr>
              <w:rPr>
                <w:rFonts w:ascii="Calibri" w:hAnsi="Calibri"/>
                <w:color w:val="000000"/>
                <w:sz w:val="20"/>
                <w:szCs w:val="20"/>
              </w:rPr>
            </w:pPr>
            <w:r>
              <w:rPr>
                <w:rFonts w:ascii="Calibri" w:hAnsi="Calibri"/>
                <w:color w:val="000000"/>
                <w:sz w:val="20"/>
                <w:szCs w:val="20"/>
              </w:rPr>
              <w:t> </w:t>
            </w:r>
          </w:p>
        </w:tc>
        <w:tc>
          <w:tcPr>
            <w:tcW w:w="824" w:type="pct"/>
            <w:tcBorders>
              <w:top w:val="single" w:sz="8" w:space="0" w:color="auto"/>
              <w:left w:val="nil"/>
              <w:bottom w:val="nil"/>
              <w:right w:val="nil"/>
            </w:tcBorders>
            <w:shd w:val="clear" w:color="000000" w:fill="C5D9F1"/>
            <w:noWrap/>
            <w:vAlign w:val="center"/>
            <w:hideMark/>
          </w:tcPr>
          <w:p w:rsidR="00363AEF" w:rsidRDefault="00363AEF" w:rsidP="00363AEF">
            <w:pPr>
              <w:rPr>
                <w:rFonts w:ascii="Calibri" w:hAnsi="Calibri"/>
                <w:b/>
                <w:bCs/>
                <w:color w:val="000000"/>
                <w:sz w:val="20"/>
                <w:szCs w:val="20"/>
              </w:rPr>
            </w:pPr>
            <w:r>
              <w:rPr>
                <w:rFonts w:ascii="Calibri" w:hAnsi="Calibri"/>
                <w:b/>
                <w:bCs/>
                <w:color w:val="000000"/>
                <w:sz w:val="20"/>
                <w:szCs w:val="20"/>
              </w:rPr>
              <w:t>Price/lb years</w:t>
            </w:r>
          </w:p>
        </w:tc>
        <w:tc>
          <w:tcPr>
            <w:tcW w:w="749" w:type="pct"/>
            <w:tcBorders>
              <w:top w:val="single" w:sz="8" w:space="0" w:color="auto"/>
              <w:left w:val="single" w:sz="8" w:space="0" w:color="auto"/>
              <w:bottom w:val="single" w:sz="8" w:space="0" w:color="auto"/>
              <w:right w:val="nil"/>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1</w:t>
            </w:r>
          </w:p>
        </w:tc>
        <w:tc>
          <w:tcPr>
            <w:tcW w:w="749" w:type="pct"/>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2</w:t>
            </w:r>
          </w:p>
        </w:tc>
        <w:tc>
          <w:tcPr>
            <w:tcW w:w="749" w:type="pct"/>
            <w:tcBorders>
              <w:top w:val="single" w:sz="8" w:space="0" w:color="auto"/>
              <w:left w:val="nil"/>
              <w:bottom w:val="single" w:sz="8" w:space="0" w:color="auto"/>
              <w:right w:val="nil"/>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3</w:t>
            </w:r>
          </w:p>
        </w:tc>
        <w:tc>
          <w:tcPr>
            <w:tcW w:w="749" w:type="pct"/>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Scenario 4</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1</w:t>
            </w:r>
          </w:p>
        </w:tc>
        <w:tc>
          <w:tcPr>
            <w:tcW w:w="824"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$866,496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$866,496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$866,496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$866,496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$1,110,579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$1,110,579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$1,110,579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$1,110,579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2</w:t>
            </w:r>
          </w:p>
        </w:tc>
        <w:tc>
          <w:tcPr>
            <w:tcW w:w="824"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$660,295 </w:t>
            </w:r>
          </w:p>
        </w:tc>
        <w:tc>
          <w:tcPr>
            <w:tcW w:w="74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$538,900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$638,267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$651,356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$780,282 </w:t>
            </w:r>
          </w:p>
        </w:tc>
        <w:tc>
          <w:tcPr>
            <w:tcW w:w="74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$643,937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$755,643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$770,207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3</w:t>
            </w: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$713,354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$663,214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$695,325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$710,758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$849,048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$783,787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$822,353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$844,518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4</w:t>
            </w:r>
          </w:p>
        </w:tc>
        <w:tc>
          <w:tcPr>
            <w:tcW w:w="824"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$807,933 </w:t>
            </w:r>
          </w:p>
        </w:tc>
        <w:tc>
          <w:tcPr>
            <w:tcW w:w="74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$744,490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$764,011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$803,053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$1,010,593 </w:t>
            </w:r>
          </w:p>
        </w:tc>
        <w:tc>
          <w:tcPr>
            <w:tcW w:w="74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$902,276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$935,604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$1,002,261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5</w:t>
            </w: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$788,412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$715,209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$739,610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$783,532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$977,265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$852,283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$893,944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$968,933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6</w:t>
            </w:r>
          </w:p>
        </w:tc>
        <w:tc>
          <w:tcPr>
            <w:tcW w:w="824"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$807,933 </w:t>
            </w:r>
          </w:p>
        </w:tc>
        <w:tc>
          <w:tcPr>
            <w:tcW w:w="74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$744,490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$759,131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$803,053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$1,010,593 </w:t>
            </w:r>
          </w:p>
        </w:tc>
        <w:tc>
          <w:tcPr>
            <w:tcW w:w="74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$902,276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$927,272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$1,002,261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7a</w:t>
            </w: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$673,431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$570,819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$666,134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$667,593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$796,058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$680,026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$787,293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$789,046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7b</w:t>
            </w:r>
          </w:p>
        </w:tc>
        <w:tc>
          <w:tcPr>
            <w:tcW w:w="824"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$673,431 </w:t>
            </w:r>
          </w:p>
        </w:tc>
        <w:tc>
          <w:tcPr>
            <w:tcW w:w="74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$570,819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$666,134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$667,593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$796,058 </w:t>
            </w:r>
          </w:p>
        </w:tc>
        <w:tc>
          <w:tcPr>
            <w:tcW w:w="74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$680,026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$787,293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$789,046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7c</w:t>
            </w: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$690,946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$612,088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$680,729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$686,568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$817,094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$726,517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$804,823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$811,835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8a</w:t>
            </w:r>
          </w:p>
        </w:tc>
        <w:tc>
          <w:tcPr>
            <w:tcW w:w="824"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$744,490 </w:t>
            </w:r>
          </w:p>
        </w:tc>
        <w:tc>
          <w:tcPr>
            <w:tcW w:w="74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$686,568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$707,050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$739,610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$902,276 </w:t>
            </w:r>
          </w:p>
        </w:tc>
        <w:tc>
          <w:tcPr>
            <w:tcW w:w="74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$811,835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$838,047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$893,944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8b</w:t>
            </w: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$690,946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$612,088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$680,729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$686,568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$817,094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$726,517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$804,823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$811,835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9a</w:t>
            </w:r>
          </w:p>
        </w:tc>
        <w:tc>
          <w:tcPr>
            <w:tcW w:w="824"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$698,244 </w:t>
            </w:r>
          </w:p>
        </w:tc>
        <w:tc>
          <w:tcPr>
            <w:tcW w:w="74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$628,917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$676,351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$692,406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$825,859 </w:t>
            </w:r>
          </w:p>
        </w:tc>
        <w:tc>
          <w:tcPr>
            <w:tcW w:w="74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$745,241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$799,564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$818,847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Sub-Alternative 9b</w:t>
            </w: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$679,270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$584,499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$666,134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$673,431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$803,070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$695,492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$787,293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$796,058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10</w:t>
            </w:r>
          </w:p>
        </w:tc>
        <w:tc>
          <w:tcPr>
            <w:tcW w:w="824"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$690,946 </w:t>
            </w:r>
          </w:p>
        </w:tc>
        <w:tc>
          <w:tcPr>
            <w:tcW w:w="749" w:type="pct"/>
            <w:tcBorders>
              <w:top w:val="nil"/>
              <w:left w:val="single" w:sz="8" w:space="0" w:color="auto"/>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$612,088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$680,729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$686,568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nil"/>
              <w:right w:val="nil"/>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$817,094 </w:t>
            </w:r>
          </w:p>
        </w:tc>
        <w:tc>
          <w:tcPr>
            <w:tcW w:w="749" w:type="pct"/>
            <w:tcBorders>
              <w:top w:val="nil"/>
              <w:left w:val="single" w:sz="8" w:space="0" w:color="auto"/>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$726,517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$804,823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$811,835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F13301" w:rsidP="00363AEF">
            <w:pPr>
              <w:jc w:val="center"/>
              <w:rPr>
                <w:rFonts w:ascii="Calibri" w:hAnsi="Calibri"/>
                <w:b/>
                <w:bCs/>
                <w:color w:val="000000"/>
                <w:sz w:val="20"/>
                <w:szCs w:val="20"/>
              </w:rPr>
            </w:pPr>
            <w:r>
              <w:rPr>
                <w:rFonts w:ascii="Calibri" w:hAnsi="Calibri"/>
                <w:b/>
                <w:bCs/>
                <w:color w:val="000000"/>
                <w:sz w:val="20"/>
                <w:szCs w:val="20"/>
              </w:rPr>
              <w:t xml:space="preserve">Preferred </w:t>
            </w:r>
            <w:r w:rsidR="00363AEF">
              <w:rPr>
                <w:rFonts w:ascii="Calibri" w:hAnsi="Calibri"/>
                <w:b/>
                <w:bCs/>
                <w:color w:val="000000"/>
                <w:sz w:val="20"/>
                <w:szCs w:val="20"/>
              </w:rPr>
              <w:t>Alternative 11</w:t>
            </w: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single" w:sz="8" w:space="0" w:color="auto"/>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$798,173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$724,969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$739,610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$793,293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$993,929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$868,947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$893,944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$985,597 </w:t>
            </w:r>
          </w:p>
        </w:tc>
      </w:tr>
      <w:tr w:rsidR="00363AEF" w:rsidTr="00363AEF">
        <w:trPr>
          <w:trHeight w:val="20"/>
        </w:trPr>
        <w:tc>
          <w:tcPr>
            <w:tcW w:w="1182" w:type="pct"/>
            <w:vMerge w:val="restart"/>
            <w:tcBorders>
              <w:top w:val="nil"/>
              <w:left w:val="single" w:sz="8" w:space="0" w:color="auto"/>
              <w:bottom w:val="single" w:sz="8" w:space="0" w:color="000000"/>
              <w:right w:val="single" w:sz="8" w:space="0" w:color="auto"/>
            </w:tcBorders>
            <w:shd w:val="clear" w:color="000000" w:fill="C5D9F1"/>
            <w:noWrap/>
            <w:vAlign w:val="center"/>
            <w:hideMark/>
          </w:tcPr>
          <w:p w:rsidR="00363AEF" w:rsidRDefault="00363AEF" w:rsidP="00363AEF">
            <w:pPr>
              <w:jc w:val="center"/>
              <w:rPr>
                <w:rFonts w:ascii="Calibri" w:hAnsi="Calibri"/>
                <w:b/>
                <w:bCs/>
                <w:color w:val="000000"/>
                <w:sz w:val="20"/>
                <w:szCs w:val="20"/>
              </w:rPr>
            </w:pPr>
            <w:r>
              <w:rPr>
                <w:rFonts w:ascii="Calibri" w:hAnsi="Calibri"/>
                <w:b/>
                <w:bCs/>
                <w:color w:val="000000"/>
                <w:sz w:val="20"/>
                <w:szCs w:val="20"/>
              </w:rPr>
              <w:t>Alternative 12</w:t>
            </w:r>
          </w:p>
        </w:tc>
        <w:tc>
          <w:tcPr>
            <w:tcW w:w="824" w:type="pct"/>
            <w:tcBorders>
              <w:top w:val="nil"/>
              <w:left w:val="nil"/>
              <w:bottom w:val="nil"/>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2000-2013</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$783,532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$711,500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$734,730 </w:t>
            </w:r>
          </w:p>
        </w:tc>
        <w:tc>
          <w:tcPr>
            <w:tcW w:w="749" w:type="pct"/>
            <w:tcBorders>
              <w:top w:val="nil"/>
              <w:left w:val="nil"/>
              <w:bottom w:val="nil"/>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$778,652 </w:t>
            </w:r>
          </w:p>
        </w:tc>
      </w:tr>
      <w:tr w:rsidR="00363AEF" w:rsidTr="00363AEF">
        <w:trPr>
          <w:trHeight w:val="20"/>
        </w:trPr>
        <w:tc>
          <w:tcPr>
            <w:tcW w:w="1182" w:type="pct"/>
            <w:vMerge/>
            <w:tcBorders>
              <w:top w:val="nil"/>
              <w:left w:val="single" w:sz="8" w:space="0" w:color="auto"/>
              <w:bottom w:val="single" w:sz="8" w:space="0" w:color="000000"/>
              <w:right w:val="single" w:sz="8" w:space="0" w:color="auto"/>
            </w:tcBorders>
            <w:vAlign w:val="center"/>
            <w:hideMark/>
          </w:tcPr>
          <w:p w:rsidR="00363AEF" w:rsidRDefault="00363AEF" w:rsidP="00363AEF">
            <w:pPr>
              <w:rPr>
                <w:rFonts w:ascii="Calibri" w:hAnsi="Calibri"/>
                <w:b/>
                <w:bCs/>
                <w:color w:val="000000"/>
                <w:sz w:val="20"/>
                <w:szCs w:val="20"/>
              </w:rPr>
            </w:pPr>
          </w:p>
        </w:tc>
        <w:tc>
          <w:tcPr>
            <w:tcW w:w="824"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center"/>
              <w:rPr>
                <w:rFonts w:ascii="Calibri" w:hAnsi="Calibri"/>
                <w:color w:val="000000"/>
                <w:sz w:val="20"/>
                <w:szCs w:val="20"/>
              </w:rPr>
            </w:pPr>
            <w:r>
              <w:rPr>
                <w:rFonts w:ascii="Calibri" w:hAnsi="Calibri"/>
                <w:color w:val="000000"/>
                <w:sz w:val="20"/>
                <w:szCs w:val="20"/>
              </w:rPr>
              <w:t>2011-2013</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$968,933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$845,812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$885,612 </w:t>
            </w:r>
          </w:p>
        </w:tc>
        <w:tc>
          <w:tcPr>
            <w:tcW w:w="749" w:type="pct"/>
            <w:tcBorders>
              <w:top w:val="nil"/>
              <w:left w:val="nil"/>
              <w:bottom w:val="single" w:sz="8" w:space="0" w:color="auto"/>
              <w:right w:val="single" w:sz="8" w:space="0" w:color="auto"/>
            </w:tcBorders>
            <w:shd w:val="clear" w:color="auto" w:fill="auto"/>
            <w:noWrap/>
            <w:vAlign w:val="center"/>
            <w:hideMark/>
          </w:tcPr>
          <w:p w:rsidR="00363AEF" w:rsidRDefault="00363AEF" w:rsidP="00363AEF">
            <w:pPr>
              <w:jc w:val="right"/>
              <w:rPr>
                <w:rFonts w:ascii="Calibri" w:hAnsi="Calibri"/>
                <w:color w:val="000000"/>
                <w:sz w:val="20"/>
                <w:szCs w:val="20"/>
              </w:rPr>
            </w:pPr>
            <w:r>
              <w:rPr>
                <w:rFonts w:ascii="Calibri" w:hAnsi="Calibri"/>
                <w:color w:val="000000"/>
                <w:sz w:val="20"/>
                <w:szCs w:val="20"/>
              </w:rPr>
              <w:t xml:space="preserve">$960,601 </w:t>
            </w:r>
          </w:p>
        </w:tc>
      </w:tr>
    </w:tbl>
    <w:p w:rsidR="00363AEF" w:rsidRDefault="00363AEF" w:rsidP="00363AEF"/>
    <w:p w:rsidR="00363AEF" w:rsidRDefault="00363AEF" w:rsidP="00363AEF">
      <w:pPr>
        <w:ind w:firstLine="540"/>
      </w:pPr>
    </w:p>
    <w:p w:rsidR="00363AEF" w:rsidRDefault="00363AEF" w:rsidP="00363AEF">
      <w:pPr>
        <w:ind w:firstLine="360"/>
      </w:pPr>
      <w:r>
        <w:t xml:space="preserve">The alternatives and sub-alternatives of </w:t>
      </w:r>
      <w:r>
        <w:rPr>
          <w:b/>
        </w:rPr>
        <w:t>Action 1</w:t>
      </w:r>
      <w:r>
        <w:t xml:space="preserve"> based on when the pot sector is open or closed redistribute the commercial ACL between gear types.  </w:t>
      </w:r>
      <w:r>
        <w:rPr>
          <w:b/>
        </w:rPr>
        <w:t>Table S-8</w:t>
      </w:r>
      <w:r>
        <w:t xml:space="preserve"> shows the percentage of the total ACL expected to be caught by pot gear by alternative.</w:t>
      </w:r>
    </w:p>
    <w:p w:rsidR="00363AEF" w:rsidRDefault="00363AEF" w:rsidP="00363AEF">
      <w:pPr>
        <w:pStyle w:val="Tabletitle"/>
        <w:rPr>
          <w:rFonts w:eastAsia="Arial"/>
        </w:rPr>
      </w:pPr>
      <w:bookmarkStart w:id="29" w:name="h.1y810tw" w:colFirst="0" w:colLast="0"/>
      <w:bookmarkStart w:id="30" w:name="_Toc432070185"/>
      <w:bookmarkEnd w:id="29"/>
    </w:p>
    <w:p w:rsidR="00363AEF" w:rsidRDefault="00363AEF" w:rsidP="00363AEF">
      <w:pPr>
        <w:pStyle w:val="Tabletitle"/>
        <w:rPr>
          <w:rFonts w:eastAsia="Arial"/>
        </w:rPr>
      </w:pPr>
    </w:p>
    <w:p w:rsidR="00363AEF" w:rsidRDefault="00363AEF" w:rsidP="00363AEF">
      <w:pPr>
        <w:pStyle w:val="Tabletitle"/>
        <w:rPr>
          <w:rFonts w:eastAsia="Arial"/>
        </w:rPr>
      </w:pPr>
    </w:p>
    <w:p w:rsidR="00363AEF" w:rsidRDefault="00363AEF" w:rsidP="00363AEF">
      <w:pPr>
        <w:pStyle w:val="Tabletitle"/>
        <w:rPr>
          <w:rFonts w:eastAsia="Arial"/>
        </w:rPr>
      </w:pPr>
    </w:p>
    <w:p w:rsidR="00363AEF" w:rsidRDefault="00363AEF" w:rsidP="00363AEF">
      <w:pPr>
        <w:pStyle w:val="Tabletitle"/>
        <w:rPr>
          <w:rFonts w:eastAsia="Arial"/>
        </w:rPr>
      </w:pPr>
    </w:p>
    <w:p w:rsidR="00363AEF" w:rsidRDefault="00363AEF" w:rsidP="00363AEF">
      <w:pPr>
        <w:pStyle w:val="Tabletitle"/>
        <w:rPr>
          <w:rFonts w:eastAsia="Arial"/>
        </w:rPr>
      </w:pPr>
    </w:p>
    <w:p w:rsidR="00363AEF" w:rsidRDefault="00363AEF" w:rsidP="00363AEF">
      <w:pPr>
        <w:pStyle w:val="Tabletitle"/>
      </w:pPr>
      <w:proofErr w:type="gramStart"/>
      <w:r w:rsidRPr="0040662D">
        <w:rPr>
          <w:rFonts w:eastAsia="Arial"/>
        </w:rPr>
        <w:lastRenderedPageBreak/>
        <w:t xml:space="preserve">Table </w:t>
      </w:r>
      <w:r w:rsidRPr="00D923B2">
        <w:rPr>
          <w:rFonts w:eastAsia="Arial"/>
        </w:rPr>
        <w:t>S-8.</w:t>
      </w:r>
      <w:proofErr w:type="gramEnd"/>
      <w:r w:rsidRPr="0040662D">
        <w:rPr>
          <w:rFonts w:eastAsia="Arial"/>
        </w:rPr>
        <w:t xml:space="preserve"> </w:t>
      </w:r>
      <w:r w:rsidRPr="001268CD">
        <w:rPr>
          <w:rFonts w:eastAsia="Arial"/>
          <w:b w:val="0"/>
        </w:rPr>
        <w:t xml:space="preserve">Expected dockside value of commercial black sea bass using pot gear only expressed as percent of expected total landings for all gear types under the alternatives of </w:t>
      </w:r>
      <w:r>
        <w:rPr>
          <w:rFonts w:eastAsia="Arial" w:cs="Arial"/>
        </w:rPr>
        <w:t xml:space="preserve">Action 1 </w:t>
      </w:r>
      <w:r w:rsidRPr="001268CD">
        <w:rPr>
          <w:rFonts w:eastAsia="Arial"/>
          <w:b w:val="0"/>
        </w:rPr>
        <w:t xml:space="preserve">using two price per pound estimates, the four different catch rate scenarios </w:t>
      </w:r>
      <w:r>
        <w:rPr>
          <w:rFonts w:eastAsia="Arial" w:cs="Arial"/>
        </w:rPr>
        <w:t>(Appendix N)</w:t>
      </w:r>
      <w:r w:rsidRPr="001268CD">
        <w:rPr>
          <w:rFonts w:eastAsia="Arial"/>
          <w:b w:val="0"/>
        </w:rPr>
        <w:t xml:space="preserve">, and estimations of spatial locations of gear based on the 2006/2007 through 2008/2009 fishing seasons (Scenario C; </w:t>
      </w:r>
      <w:r>
        <w:rPr>
          <w:rFonts w:eastAsia="Arial" w:cs="Arial"/>
        </w:rPr>
        <w:t>Appendix N</w:t>
      </w:r>
      <w:r w:rsidRPr="001268CD">
        <w:rPr>
          <w:rFonts w:eastAsia="Arial"/>
          <w:b w:val="0"/>
        </w:rPr>
        <w:t>).</w:t>
      </w:r>
      <w:bookmarkEnd w:id="30"/>
    </w:p>
    <w:tbl>
      <w:tblPr>
        <w:tblW w:w="9175" w:type="dxa"/>
        <w:tblInd w:w="93" w:type="dxa"/>
        <w:tblLook w:val="04A0"/>
      </w:tblPr>
      <w:tblGrid>
        <w:gridCol w:w="2340"/>
        <w:gridCol w:w="1635"/>
        <w:gridCol w:w="1300"/>
        <w:gridCol w:w="1300"/>
        <w:gridCol w:w="1300"/>
        <w:gridCol w:w="1300"/>
      </w:tblGrid>
      <w:tr w:rsidR="00363AEF" w:rsidTr="00363AEF">
        <w:trPr>
          <w:trHeight w:val="320"/>
        </w:trPr>
        <w:tc>
          <w:tcPr>
            <w:tcW w:w="2340" w:type="dxa"/>
            <w:tcBorders>
              <w:top w:val="single" w:sz="8" w:space="0" w:color="auto"/>
              <w:left w:val="single" w:sz="8" w:space="0" w:color="auto"/>
              <w:bottom w:val="single" w:sz="8" w:space="0" w:color="auto"/>
              <w:right w:val="single" w:sz="8" w:space="0" w:color="auto"/>
            </w:tcBorders>
            <w:shd w:val="clear" w:color="000000" w:fill="C5D9F1"/>
            <w:noWrap/>
          </w:tcPr>
          <w:p w:rsidR="00363AEF" w:rsidRPr="001268CD" w:rsidRDefault="00363AEF" w:rsidP="00363AEF">
            <w:pPr>
              <w:rPr>
                <w:color w:val="000000"/>
              </w:rPr>
            </w:pPr>
            <w:r w:rsidRPr="001268CD">
              <w:rPr>
                <w:color w:val="000000"/>
              </w:rPr>
              <w:t> </w:t>
            </w:r>
          </w:p>
        </w:tc>
        <w:tc>
          <w:tcPr>
            <w:tcW w:w="1635" w:type="dxa"/>
            <w:tcBorders>
              <w:top w:val="single" w:sz="8" w:space="0" w:color="auto"/>
            </w:tcBorders>
            <w:shd w:val="clear" w:color="000000" w:fill="C5D9F1"/>
            <w:noWrap/>
          </w:tcPr>
          <w:p w:rsidR="00363AEF" w:rsidRPr="001268CD" w:rsidRDefault="00363AEF" w:rsidP="00363AEF">
            <w:pPr>
              <w:rPr>
                <w:rFonts w:ascii="Calibri" w:hAnsi="Calibri"/>
                <w:b/>
                <w:color w:val="000000"/>
              </w:rPr>
            </w:pPr>
            <w:r w:rsidRPr="001268CD">
              <w:rPr>
                <w:rFonts w:ascii="Calibri" w:eastAsia="Calibri" w:hAnsi="Calibri"/>
                <w:b/>
                <w:color w:val="000000"/>
              </w:rPr>
              <w:t>Price/lb years</w:t>
            </w:r>
          </w:p>
        </w:tc>
        <w:tc>
          <w:tcPr>
            <w:tcW w:w="1300" w:type="dxa"/>
            <w:tcBorders>
              <w:top w:val="single" w:sz="8" w:space="0" w:color="auto"/>
              <w:left w:val="single" w:sz="8" w:space="0" w:color="auto"/>
              <w:bottom w:val="single" w:sz="8"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Scenario 1</w:t>
            </w:r>
          </w:p>
        </w:tc>
        <w:tc>
          <w:tcPr>
            <w:tcW w:w="1300" w:type="dxa"/>
            <w:tcBorders>
              <w:top w:val="single" w:sz="8" w:space="0" w:color="auto"/>
              <w:left w:val="single" w:sz="8" w:space="0" w:color="auto"/>
              <w:bottom w:val="single" w:sz="8" w:space="0" w:color="auto"/>
              <w:right w:val="single" w:sz="8"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Scenario 2</w:t>
            </w:r>
          </w:p>
        </w:tc>
        <w:tc>
          <w:tcPr>
            <w:tcW w:w="1300" w:type="dxa"/>
            <w:tcBorders>
              <w:top w:val="single" w:sz="8" w:space="0" w:color="auto"/>
              <w:bottom w:val="single" w:sz="8"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Scenario 3</w:t>
            </w:r>
          </w:p>
        </w:tc>
        <w:tc>
          <w:tcPr>
            <w:tcW w:w="1300" w:type="dxa"/>
            <w:tcBorders>
              <w:top w:val="single" w:sz="8" w:space="0" w:color="auto"/>
              <w:left w:val="single" w:sz="8" w:space="0" w:color="auto"/>
              <w:bottom w:val="single" w:sz="8" w:space="0" w:color="auto"/>
              <w:right w:val="single" w:sz="8"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Scenario 4</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1</w:t>
            </w:r>
          </w:p>
        </w:tc>
        <w:tc>
          <w:tcPr>
            <w:tcW w:w="1635" w:type="dxa"/>
            <w:tcBorders>
              <w:top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35%</w:t>
            </w:r>
          </w:p>
        </w:tc>
        <w:tc>
          <w:tcPr>
            <w:tcW w:w="1300"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35%</w:t>
            </w:r>
          </w:p>
        </w:tc>
        <w:tc>
          <w:tcPr>
            <w:tcW w:w="1300"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35%</w:t>
            </w:r>
          </w:p>
        </w:tc>
        <w:tc>
          <w:tcPr>
            <w:tcW w:w="1300"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35%</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31%</w:t>
            </w:r>
          </w:p>
        </w:tc>
        <w:tc>
          <w:tcPr>
            <w:tcW w:w="1300"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31%</w:t>
            </w:r>
          </w:p>
        </w:tc>
        <w:tc>
          <w:tcPr>
            <w:tcW w:w="1300"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31%</w:t>
            </w:r>
          </w:p>
        </w:tc>
        <w:tc>
          <w:tcPr>
            <w:tcW w:w="1300"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31%</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2</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52%</w:t>
            </w:r>
          </w:p>
        </w:tc>
        <w:tc>
          <w:tcPr>
            <w:tcW w:w="1300"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61%</w:t>
            </w:r>
          </w:p>
        </w:tc>
        <w:tc>
          <w:tcPr>
            <w:tcW w:w="1300"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54%</w:t>
            </w:r>
          </w:p>
        </w:tc>
        <w:tc>
          <w:tcPr>
            <w:tcW w:w="1300"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53%</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52%</w:t>
            </w:r>
          </w:p>
        </w:tc>
        <w:tc>
          <w:tcPr>
            <w:tcW w:w="1300"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61%</w:t>
            </w:r>
          </w:p>
        </w:tc>
        <w:tc>
          <w:tcPr>
            <w:tcW w:w="1300"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54%</w:t>
            </w:r>
          </w:p>
        </w:tc>
        <w:tc>
          <w:tcPr>
            <w:tcW w:w="1300"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52%</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3</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48%</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48%</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47%</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47%</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4</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41%</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46%</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44%</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41%</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39%</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44%</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39%</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5</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48%</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46%</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40%</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47%</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45%</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41%</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6</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41%</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46%</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45%</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42%</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39%</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44%</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39%</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7a</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58%</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58%</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7b</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58%</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58%</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7c</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56%</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55%</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8a</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46%</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46%</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44%</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48%</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45%</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8b</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56%</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55%</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r>
      <w:tr w:rsidR="00363AEF" w:rsidTr="00363AEF">
        <w:trPr>
          <w:trHeight w:val="300"/>
        </w:trPr>
        <w:tc>
          <w:tcPr>
            <w:tcW w:w="2340" w:type="dxa"/>
            <w:vMerge w:val="restart"/>
            <w:tcBorders>
              <w:left w:val="single" w:sz="8" w:space="0" w:color="auto"/>
              <w:right w:val="single" w:sz="8" w:space="0" w:color="auto"/>
            </w:tcBorders>
            <w:shd w:val="clear" w:color="000000" w:fill="C5D9F1"/>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9a</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55%</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48%</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54%</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9b</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58%</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57%</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10</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56%</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55%</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r>
      <w:tr w:rsidR="00363AEF" w:rsidTr="00363AEF">
        <w:trPr>
          <w:trHeight w:val="300"/>
        </w:trPr>
        <w:tc>
          <w:tcPr>
            <w:tcW w:w="2340" w:type="dxa"/>
            <w:vMerge w:val="restart"/>
            <w:tcBorders>
              <w:left w:val="single" w:sz="8" w:space="0" w:color="auto"/>
              <w:right w:val="single" w:sz="8" w:space="0" w:color="auto"/>
            </w:tcBorders>
            <w:shd w:val="clear" w:color="000000" w:fill="C5D9F1"/>
            <w:noWrap/>
            <w:vAlign w:val="center"/>
          </w:tcPr>
          <w:p w:rsidR="00363AEF" w:rsidRDefault="00363AEF" w:rsidP="00363AEF">
            <w:pPr>
              <w:jc w:val="center"/>
              <w:rPr>
                <w:rFonts w:ascii="Calibri" w:eastAsia="Calibri" w:hAnsi="Calibri"/>
                <w:b/>
                <w:color w:val="000000"/>
              </w:rPr>
            </w:pPr>
            <w:r>
              <w:rPr>
                <w:rFonts w:ascii="Calibri" w:eastAsia="Calibri" w:hAnsi="Calibri"/>
                <w:b/>
                <w:color w:val="000000"/>
              </w:rPr>
              <w:t>Preferred</w:t>
            </w:r>
          </w:p>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11</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42%</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47%</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46%</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42%</w:t>
            </w:r>
          </w:p>
        </w:tc>
      </w:tr>
      <w:tr w:rsidR="00363AEF" w:rsidTr="00363AEF">
        <w:trPr>
          <w:trHeight w:val="320"/>
        </w:trPr>
        <w:tc>
          <w:tcPr>
            <w:tcW w:w="2340" w:type="dxa"/>
            <w:vMerge/>
            <w:tcBorders>
              <w:left w:val="single" w:sz="8" w:space="0" w:color="auto"/>
              <w:right w:val="single" w:sz="8" w:space="0" w:color="auto"/>
            </w:tcBorders>
            <w:vAlign w:val="center"/>
          </w:tcPr>
          <w:p w:rsidR="00363AEF" w:rsidRPr="001268CD" w:rsidRDefault="00363AEF" w:rsidP="00363AEF">
            <w:pPr>
              <w:jc w:val="cente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40%</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46%</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45%</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40%</w:t>
            </w:r>
          </w:p>
        </w:tc>
      </w:tr>
      <w:tr w:rsidR="00363AEF" w:rsidTr="00363AEF">
        <w:trPr>
          <w:trHeight w:val="300"/>
        </w:trPr>
        <w:tc>
          <w:tcPr>
            <w:tcW w:w="2340" w:type="dxa"/>
            <w:vMerge w:val="restart"/>
            <w:tcBorders>
              <w:left w:val="single" w:sz="8" w:space="0" w:color="auto"/>
              <w:bottom w:val="single" w:sz="4" w:space="0" w:color="auto"/>
              <w:right w:val="single" w:sz="8" w:space="0" w:color="auto"/>
            </w:tcBorders>
            <w:shd w:val="clear" w:color="000000" w:fill="C5D9F1"/>
            <w:noWrap/>
            <w:vAlign w:val="center"/>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12</w:t>
            </w:r>
          </w:p>
        </w:tc>
        <w:tc>
          <w:tcPr>
            <w:tcW w:w="1635" w:type="dxa"/>
            <w:tcBorders>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48%</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47%</w:t>
            </w:r>
          </w:p>
        </w:tc>
        <w:tc>
          <w:tcPr>
            <w:tcW w:w="1300"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r>
      <w:tr w:rsidR="00363AEF" w:rsidTr="00363AEF">
        <w:trPr>
          <w:trHeight w:val="320"/>
        </w:trPr>
        <w:tc>
          <w:tcPr>
            <w:tcW w:w="2340" w:type="dxa"/>
            <w:vMerge/>
            <w:tcBorders>
              <w:left w:val="single" w:sz="8" w:space="0" w:color="auto"/>
              <w:bottom w:val="single" w:sz="4" w:space="0" w:color="auto"/>
              <w:right w:val="single" w:sz="8" w:space="0" w:color="auto"/>
            </w:tcBorders>
          </w:tcPr>
          <w:p w:rsidR="00363AEF" w:rsidRPr="001268CD" w:rsidRDefault="00363AEF" w:rsidP="00363AEF">
            <w:pPr>
              <w:rPr>
                <w:rFonts w:ascii="Calibri" w:hAnsi="Calibri"/>
                <w:b/>
                <w:color w:val="000000"/>
              </w:rPr>
            </w:pPr>
          </w:p>
        </w:tc>
        <w:tc>
          <w:tcPr>
            <w:tcW w:w="1635" w:type="dxa"/>
            <w:tcBorders>
              <w:bottom w:val="single" w:sz="8" w:space="0" w:color="auto"/>
              <w:right w:val="single" w:sz="8" w:space="0" w:color="auto"/>
            </w:tcBorders>
            <w:shd w:val="clear" w:color="auto" w:fill="auto"/>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2011-2013</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41%</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47%</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46%</w:t>
            </w:r>
          </w:p>
        </w:tc>
        <w:tc>
          <w:tcPr>
            <w:tcW w:w="1300"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41%</w:t>
            </w:r>
          </w:p>
        </w:tc>
      </w:tr>
    </w:tbl>
    <w:p w:rsidR="00363AEF" w:rsidRDefault="00363AEF" w:rsidP="00363AEF"/>
    <w:p w:rsidR="00363AEF" w:rsidRPr="001268CD" w:rsidRDefault="00363AEF" w:rsidP="00363AEF">
      <w:pPr>
        <w:ind w:firstLine="360"/>
        <w:rPr>
          <w:color w:val="000000"/>
        </w:rPr>
      </w:pPr>
      <w:r w:rsidRPr="001268CD">
        <w:rPr>
          <w:color w:val="000000"/>
        </w:rPr>
        <w:t xml:space="preserve">Given the uncertainty of how fishery participants </w:t>
      </w:r>
      <w:r>
        <w:t xml:space="preserve">would </w:t>
      </w:r>
      <w:r w:rsidRPr="001268CD">
        <w:rPr>
          <w:color w:val="000000"/>
        </w:rPr>
        <w:t xml:space="preserve">change their behavior in the future, each of the four catch rate scenarios are plausible estimates of future fishing behavior.  One </w:t>
      </w:r>
      <w:r w:rsidRPr="001268CD">
        <w:rPr>
          <w:color w:val="000000"/>
        </w:rPr>
        <w:lastRenderedPageBreak/>
        <w:t xml:space="preserve">way to simplify comparisons between alternatives is to use mean values across the four scenarios for each alternative or sub-alternative. </w:t>
      </w:r>
      <w:r>
        <w:t xml:space="preserve"> </w:t>
      </w:r>
      <w:r w:rsidRPr="001268CD">
        <w:rPr>
          <w:b/>
          <w:color w:val="000000"/>
        </w:rPr>
        <w:t xml:space="preserve">Table S-9 </w:t>
      </w:r>
      <w:r w:rsidRPr="001268CD">
        <w:rPr>
          <w:color w:val="000000"/>
        </w:rPr>
        <w:t xml:space="preserve">shows the percent of expected ex-vessel value landed by pot gear averaged across the four landings scenarios as a percent of expected black sea bass ex-vessel values for all gear types combined. </w:t>
      </w:r>
      <w:r>
        <w:t xml:space="preserve"> </w:t>
      </w:r>
      <w:r w:rsidRPr="001268CD">
        <w:rPr>
          <w:color w:val="000000"/>
        </w:rPr>
        <w:t xml:space="preserve">Regardless of whether 2000–2013 or 2011–2013 price per pound values were used, </w:t>
      </w:r>
      <w:r w:rsidRPr="001268CD">
        <w:rPr>
          <w:b/>
          <w:color w:val="000000"/>
        </w:rPr>
        <w:t>Alternative 1 (No Action)</w:t>
      </w:r>
      <w:r w:rsidRPr="001268CD">
        <w:rPr>
          <w:color w:val="000000"/>
        </w:rPr>
        <w:t xml:space="preserve"> had a lower percentage of the expected ex-vessel value landed by pot gear than all of the other alternatives/sub-alternatives considered.  When using the </w:t>
      </w:r>
      <w:r w:rsidRPr="001268CD">
        <w:rPr>
          <w:color w:val="000000"/>
          <w:u w:val="single"/>
        </w:rPr>
        <w:t>2000–2013</w:t>
      </w:r>
      <w:r w:rsidRPr="001268CD">
        <w:rPr>
          <w:color w:val="000000"/>
        </w:rPr>
        <w:t xml:space="preserve"> price per pound values, </w:t>
      </w:r>
      <w:r w:rsidRPr="001268CD">
        <w:rPr>
          <w:b/>
          <w:color w:val="000000"/>
        </w:rPr>
        <w:t>Alternative 2</w:t>
      </w:r>
      <w:r w:rsidRPr="001268CD">
        <w:rPr>
          <w:color w:val="000000"/>
        </w:rPr>
        <w:t xml:space="preserve">, </w:t>
      </w:r>
      <w:r w:rsidRPr="001268CD">
        <w:rPr>
          <w:b/>
          <w:color w:val="000000"/>
        </w:rPr>
        <w:t>Sub-Alternative 7a</w:t>
      </w:r>
      <w:r w:rsidRPr="001268CD">
        <w:rPr>
          <w:color w:val="000000"/>
        </w:rPr>
        <w:t xml:space="preserve">, and </w:t>
      </w:r>
      <w:r w:rsidRPr="001268CD">
        <w:rPr>
          <w:b/>
          <w:color w:val="000000"/>
        </w:rPr>
        <w:t>Sub-Alternative 9a</w:t>
      </w:r>
      <w:r w:rsidRPr="001268CD">
        <w:rPr>
          <w:color w:val="000000"/>
        </w:rPr>
        <w:t xml:space="preserve"> had the highest expected percentage of overall ex-vessel values for black sea bass landed by pot gear.  When using the </w:t>
      </w:r>
      <w:r w:rsidRPr="001268CD">
        <w:rPr>
          <w:color w:val="000000"/>
          <w:u w:val="single"/>
        </w:rPr>
        <w:t>2011–2013</w:t>
      </w:r>
      <w:r w:rsidRPr="001268CD">
        <w:rPr>
          <w:color w:val="000000"/>
        </w:rPr>
        <w:t xml:space="preserve"> price per pound values, </w:t>
      </w:r>
      <w:r w:rsidRPr="001268CD">
        <w:rPr>
          <w:b/>
          <w:color w:val="000000"/>
        </w:rPr>
        <w:t>Alternative 2</w:t>
      </w:r>
      <w:r w:rsidRPr="001268CD">
        <w:rPr>
          <w:color w:val="000000"/>
        </w:rPr>
        <w:t xml:space="preserve">, </w:t>
      </w:r>
      <w:r w:rsidRPr="001268CD">
        <w:rPr>
          <w:b/>
          <w:color w:val="000000"/>
        </w:rPr>
        <w:t>Sub-Alternative 8b</w:t>
      </w:r>
      <w:r w:rsidRPr="001268CD">
        <w:rPr>
          <w:color w:val="000000"/>
        </w:rPr>
        <w:t xml:space="preserve">, and </w:t>
      </w:r>
      <w:r w:rsidRPr="001268CD">
        <w:rPr>
          <w:b/>
          <w:color w:val="000000"/>
        </w:rPr>
        <w:t>Sub-Alternative 8a</w:t>
      </w:r>
      <w:r w:rsidRPr="001268CD">
        <w:rPr>
          <w:color w:val="000000"/>
        </w:rPr>
        <w:t xml:space="preserve"> had the highest expected percentage of overall ex-vessel values for black sea bass landed by pot gear.</w:t>
      </w:r>
    </w:p>
    <w:p w:rsidR="00363AEF" w:rsidRPr="001268CD" w:rsidRDefault="00363AEF" w:rsidP="00363AEF">
      <w:pPr>
        <w:rPr>
          <w:b/>
          <w:color w:val="000000"/>
        </w:rPr>
      </w:pPr>
    </w:p>
    <w:p w:rsidR="00363AEF" w:rsidRPr="001268CD" w:rsidRDefault="00363AEF" w:rsidP="00363AEF">
      <w:pPr>
        <w:pStyle w:val="Tabletitle"/>
        <w:rPr>
          <w:b w:val="0"/>
        </w:rPr>
      </w:pPr>
      <w:bookmarkStart w:id="31" w:name="h.4i7ojhp" w:colFirst="0" w:colLast="0"/>
      <w:bookmarkStart w:id="32" w:name="_Toc432070186"/>
      <w:bookmarkEnd w:id="31"/>
      <w:proofErr w:type="gramStart"/>
      <w:r w:rsidRPr="0040662D">
        <w:rPr>
          <w:rFonts w:eastAsia="Arial"/>
        </w:rPr>
        <w:t>Table S-9.</w:t>
      </w:r>
      <w:proofErr w:type="gramEnd"/>
      <w:r w:rsidRPr="00D923B2">
        <w:rPr>
          <w:rFonts w:eastAsia="Arial"/>
        </w:rPr>
        <w:t xml:space="preserve"> </w:t>
      </w:r>
      <w:r w:rsidRPr="001268CD">
        <w:rPr>
          <w:rFonts w:eastAsia="Arial"/>
          <w:b w:val="0"/>
        </w:rPr>
        <w:t>Mean percentage and ranking of expected ex-vessel value of black sea bass landed by pot gear as a percent of expected ex-vessel value of black sea bass landed by all gear types averaged across the four landings scenarios.</w:t>
      </w:r>
      <w:bookmarkEnd w:id="32"/>
    </w:p>
    <w:tbl>
      <w:tblPr>
        <w:tblW w:w="6475" w:type="dxa"/>
        <w:tblInd w:w="93" w:type="dxa"/>
        <w:tblLook w:val="04A0"/>
      </w:tblPr>
      <w:tblGrid>
        <w:gridCol w:w="2715"/>
        <w:gridCol w:w="1012"/>
        <w:gridCol w:w="868"/>
        <w:gridCol w:w="1012"/>
        <w:gridCol w:w="868"/>
      </w:tblGrid>
      <w:tr w:rsidR="00363AEF" w:rsidTr="00363AEF">
        <w:trPr>
          <w:trHeight w:val="320"/>
        </w:trPr>
        <w:tc>
          <w:tcPr>
            <w:tcW w:w="2715" w:type="dxa"/>
            <w:tcBorders>
              <w:top w:val="single" w:sz="8" w:space="0" w:color="auto"/>
              <w:left w:val="single" w:sz="8" w:space="0" w:color="auto"/>
              <w:right w:val="single" w:sz="4" w:space="0" w:color="auto"/>
            </w:tcBorders>
            <w:shd w:val="clear" w:color="000000" w:fill="C5D9F1"/>
            <w:noWrap/>
          </w:tcPr>
          <w:p w:rsidR="00363AEF" w:rsidRPr="001268CD" w:rsidRDefault="00363AEF" w:rsidP="00363AEF">
            <w:pPr>
              <w:rPr>
                <w:rFonts w:ascii="Calibri" w:hAnsi="Calibri"/>
                <w:color w:val="000000"/>
              </w:rPr>
            </w:pPr>
            <w:r w:rsidRPr="001268CD">
              <w:rPr>
                <w:rFonts w:ascii="Calibri" w:eastAsia="Calibri" w:hAnsi="Calibri"/>
                <w:color w:val="000000"/>
              </w:rPr>
              <w:t> </w:t>
            </w:r>
          </w:p>
        </w:tc>
        <w:tc>
          <w:tcPr>
            <w:tcW w:w="1880" w:type="dxa"/>
            <w:gridSpan w:val="2"/>
            <w:tcBorders>
              <w:top w:val="single" w:sz="8" w:space="0" w:color="auto"/>
              <w:bottom w:val="single" w:sz="4" w:space="0" w:color="auto"/>
            </w:tcBorders>
            <w:shd w:val="clear" w:color="000000" w:fill="C5D9F1"/>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2000-2013</w:t>
            </w:r>
          </w:p>
        </w:tc>
        <w:tc>
          <w:tcPr>
            <w:tcW w:w="1880" w:type="dxa"/>
            <w:gridSpan w:val="2"/>
            <w:tcBorders>
              <w:top w:val="single" w:sz="8" w:space="0" w:color="auto"/>
              <w:bottom w:val="single" w:sz="4" w:space="0" w:color="auto"/>
            </w:tcBorders>
            <w:shd w:val="clear" w:color="000000" w:fill="C5D9F1"/>
            <w:noWrap/>
          </w:tcPr>
          <w:p w:rsidR="00363AEF" w:rsidRPr="001268CD" w:rsidRDefault="00363AEF" w:rsidP="00363AEF">
            <w:pPr>
              <w:jc w:val="center"/>
              <w:rPr>
                <w:rFonts w:ascii="Calibri" w:hAnsi="Calibri"/>
                <w:color w:val="000000"/>
              </w:rPr>
            </w:pPr>
            <w:r w:rsidRPr="001268CD">
              <w:rPr>
                <w:rFonts w:ascii="Calibri" w:eastAsia="Calibri" w:hAnsi="Calibri"/>
                <w:color w:val="000000"/>
              </w:rPr>
              <w:t>2011 -2013</w:t>
            </w:r>
          </w:p>
        </w:tc>
      </w:tr>
      <w:tr w:rsidR="00363AEF" w:rsidTr="00363AEF">
        <w:trPr>
          <w:trHeight w:val="320"/>
        </w:trPr>
        <w:tc>
          <w:tcPr>
            <w:tcW w:w="2715" w:type="dxa"/>
            <w:tcBorders>
              <w:left w:val="single" w:sz="8" w:space="0" w:color="auto"/>
              <w:bottom w:val="single" w:sz="4" w:space="0" w:color="auto"/>
              <w:right w:val="single" w:sz="4" w:space="0" w:color="auto"/>
            </w:tcBorders>
            <w:shd w:val="clear" w:color="000000" w:fill="C5D9F1"/>
            <w:noWrap/>
          </w:tcPr>
          <w:p w:rsidR="00363AEF" w:rsidRPr="001268CD" w:rsidRDefault="00363AEF" w:rsidP="00363AEF">
            <w:pPr>
              <w:rPr>
                <w:rFonts w:ascii="Calibri" w:hAnsi="Calibri"/>
                <w:color w:val="000000"/>
              </w:rPr>
            </w:pPr>
            <w:r w:rsidRPr="001268CD">
              <w:rPr>
                <w:rFonts w:ascii="Calibri" w:eastAsia="Calibri" w:hAnsi="Calibri"/>
                <w:color w:val="000000"/>
              </w:rPr>
              <w:t> </w:t>
            </w:r>
          </w:p>
        </w:tc>
        <w:tc>
          <w:tcPr>
            <w:tcW w:w="1012" w:type="dxa"/>
            <w:tcBorders>
              <w:bottom w:val="single" w:sz="4" w:space="0" w:color="auto"/>
              <w:right w:val="single" w:sz="4" w:space="0" w:color="auto"/>
            </w:tcBorders>
            <w:shd w:val="clear" w:color="000000" w:fill="C5D9F1"/>
            <w:noWrap/>
          </w:tcPr>
          <w:p w:rsidR="00363AEF" w:rsidRPr="001268CD" w:rsidRDefault="00363AEF" w:rsidP="00363AEF">
            <w:pPr>
              <w:jc w:val="center"/>
              <w:rPr>
                <w:rFonts w:ascii="Calibri" w:hAnsi="Calibri"/>
                <w:color w:val="000000"/>
              </w:rPr>
            </w:pPr>
            <w:r w:rsidRPr="001268CD">
              <w:rPr>
                <w:rFonts w:ascii="Calibri" w:eastAsia="Calibri" w:hAnsi="Calibri"/>
                <w:color w:val="000000"/>
              </w:rPr>
              <w:t>Mean</w:t>
            </w:r>
          </w:p>
        </w:tc>
        <w:tc>
          <w:tcPr>
            <w:tcW w:w="868" w:type="dxa"/>
            <w:tcBorders>
              <w:bottom w:val="single" w:sz="4" w:space="0" w:color="auto"/>
              <w:right w:val="single" w:sz="4" w:space="0" w:color="auto"/>
            </w:tcBorders>
            <w:shd w:val="clear" w:color="000000" w:fill="C5D9F1"/>
            <w:noWrap/>
          </w:tcPr>
          <w:p w:rsidR="00363AEF" w:rsidRPr="001268CD" w:rsidRDefault="00363AEF" w:rsidP="00363AEF">
            <w:pPr>
              <w:jc w:val="center"/>
              <w:rPr>
                <w:rFonts w:ascii="Calibri" w:hAnsi="Calibri"/>
                <w:color w:val="000000"/>
              </w:rPr>
            </w:pPr>
            <w:r w:rsidRPr="001268CD">
              <w:rPr>
                <w:rFonts w:ascii="Calibri" w:eastAsia="Calibri" w:hAnsi="Calibri"/>
                <w:color w:val="000000"/>
              </w:rPr>
              <w:t>Rank</w:t>
            </w:r>
          </w:p>
        </w:tc>
        <w:tc>
          <w:tcPr>
            <w:tcW w:w="1012" w:type="dxa"/>
            <w:tcBorders>
              <w:bottom w:val="single" w:sz="4" w:space="0" w:color="auto"/>
              <w:right w:val="single" w:sz="4" w:space="0" w:color="auto"/>
            </w:tcBorders>
            <w:shd w:val="clear" w:color="000000" w:fill="C5D9F1"/>
            <w:noWrap/>
          </w:tcPr>
          <w:p w:rsidR="00363AEF" w:rsidRPr="001268CD" w:rsidRDefault="00363AEF" w:rsidP="00363AEF">
            <w:pPr>
              <w:jc w:val="center"/>
              <w:rPr>
                <w:rFonts w:ascii="Calibri" w:hAnsi="Calibri"/>
                <w:color w:val="000000"/>
              </w:rPr>
            </w:pPr>
            <w:r w:rsidRPr="001268CD">
              <w:rPr>
                <w:rFonts w:ascii="Calibri" w:eastAsia="Calibri" w:hAnsi="Calibri"/>
                <w:color w:val="000000"/>
              </w:rPr>
              <w:t>Mean</w:t>
            </w:r>
          </w:p>
        </w:tc>
        <w:tc>
          <w:tcPr>
            <w:tcW w:w="868" w:type="dxa"/>
            <w:tcBorders>
              <w:bottom w:val="single" w:sz="4" w:space="0" w:color="auto"/>
              <w:right w:val="single" w:sz="8" w:space="0" w:color="auto"/>
            </w:tcBorders>
            <w:shd w:val="clear" w:color="000000" w:fill="C5D9F1"/>
            <w:noWrap/>
          </w:tcPr>
          <w:p w:rsidR="00363AEF" w:rsidRPr="001268CD" w:rsidRDefault="00363AEF" w:rsidP="00363AEF">
            <w:pPr>
              <w:jc w:val="center"/>
              <w:rPr>
                <w:rFonts w:ascii="Calibri" w:hAnsi="Calibri"/>
                <w:color w:val="000000"/>
              </w:rPr>
            </w:pPr>
            <w:r w:rsidRPr="001268CD">
              <w:rPr>
                <w:rFonts w:ascii="Calibri" w:eastAsia="Calibri" w:hAnsi="Calibri"/>
                <w:color w:val="000000"/>
              </w:rPr>
              <w:t>Rank</w:t>
            </w:r>
          </w:p>
        </w:tc>
      </w:tr>
      <w:tr w:rsidR="00363AEF" w:rsidTr="00363AEF">
        <w:trPr>
          <w:trHeight w:val="30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1</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35%</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16</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31%</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16</w:t>
            </w:r>
          </w:p>
        </w:tc>
      </w:tr>
      <w:tr w:rsidR="00363AEF" w:rsidTr="00363AEF">
        <w:trPr>
          <w:trHeight w:val="32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2</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55%</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55%</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w:t>
            </w:r>
          </w:p>
        </w:tc>
      </w:tr>
      <w:tr w:rsidR="00363AEF" w:rsidTr="00363AEF">
        <w:trPr>
          <w:trHeight w:val="30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3</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50%</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9</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49%</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9</w:t>
            </w:r>
          </w:p>
        </w:tc>
      </w:tr>
      <w:tr w:rsidR="00363AEF" w:rsidTr="00363AEF">
        <w:trPr>
          <w:trHeight w:val="32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4</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15</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41%</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15</w:t>
            </w:r>
          </w:p>
        </w:tc>
      </w:tr>
      <w:tr w:rsidR="00363AEF" w:rsidTr="00363AEF">
        <w:trPr>
          <w:trHeight w:val="30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5</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45%</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12</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12</w:t>
            </w:r>
          </w:p>
        </w:tc>
      </w:tr>
      <w:tr w:rsidR="00363AEF" w:rsidTr="00363AEF">
        <w:trPr>
          <w:trHeight w:val="32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6</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14</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41%</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14</w:t>
            </w:r>
          </w:p>
        </w:tc>
      </w:tr>
      <w:tr w:rsidR="00363AEF" w:rsidTr="00363AEF">
        <w:trPr>
          <w:trHeight w:val="30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7a</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53%</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2</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53%</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2</w:t>
            </w:r>
          </w:p>
        </w:tc>
      </w:tr>
      <w:tr w:rsidR="00363AEF" w:rsidTr="00363AEF">
        <w:trPr>
          <w:trHeight w:val="32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7b</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53%</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3</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53%</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3</w:t>
            </w:r>
          </w:p>
        </w:tc>
      </w:tr>
      <w:tr w:rsidR="00363AEF" w:rsidTr="00363AEF">
        <w:trPr>
          <w:trHeight w:val="30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7c</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7</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7</w:t>
            </w:r>
          </w:p>
        </w:tc>
      </w:tr>
      <w:tr w:rsidR="00363AEF" w:rsidTr="00363AEF">
        <w:trPr>
          <w:trHeight w:val="32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8a</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48%</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10</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47%</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10</w:t>
            </w:r>
          </w:p>
        </w:tc>
      </w:tr>
      <w:tr w:rsidR="00363AEF" w:rsidTr="00363AEF">
        <w:trPr>
          <w:trHeight w:val="30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8b</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w:t>
            </w:r>
          </w:p>
        </w:tc>
      </w:tr>
      <w:tr w:rsidR="00363AEF" w:rsidTr="00363AEF">
        <w:trPr>
          <w:trHeight w:val="320"/>
        </w:trPr>
        <w:tc>
          <w:tcPr>
            <w:tcW w:w="2715" w:type="dxa"/>
            <w:tcBorders>
              <w:left w:val="single" w:sz="8" w:space="0" w:color="auto"/>
              <w:right w:val="single" w:sz="4" w:space="0" w:color="auto"/>
            </w:tcBorders>
            <w:shd w:val="clear" w:color="000000" w:fill="C5D9F1"/>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9a</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8</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8</w:t>
            </w:r>
          </w:p>
        </w:tc>
      </w:tr>
      <w:tr w:rsidR="00363AEF" w:rsidTr="00363AEF">
        <w:trPr>
          <w:trHeight w:val="30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Sub-Alternative 9b</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53%</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w:t>
            </w:r>
          </w:p>
        </w:tc>
      </w:tr>
      <w:tr w:rsidR="00363AEF" w:rsidTr="00363AEF">
        <w:trPr>
          <w:trHeight w:val="32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10</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52%</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51%</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5</w:t>
            </w:r>
          </w:p>
        </w:tc>
      </w:tr>
      <w:tr w:rsidR="00363AEF" w:rsidTr="00363AEF">
        <w:trPr>
          <w:trHeight w:val="300"/>
        </w:trPr>
        <w:tc>
          <w:tcPr>
            <w:tcW w:w="2715" w:type="dxa"/>
            <w:tcBorders>
              <w:left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Pr>
                <w:rFonts w:ascii="Calibri" w:eastAsia="Calibri" w:hAnsi="Calibri"/>
                <w:b/>
                <w:color w:val="000000"/>
              </w:rPr>
              <w:t xml:space="preserve">Preferred </w:t>
            </w:r>
            <w:r w:rsidRPr="001268CD">
              <w:rPr>
                <w:rFonts w:ascii="Calibri" w:eastAsia="Calibri" w:hAnsi="Calibri"/>
                <w:b/>
                <w:color w:val="000000"/>
              </w:rPr>
              <w:t>Alternative 11</w:t>
            </w:r>
          </w:p>
        </w:tc>
        <w:tc>
          <w:tcPr>
            <w:tcW w:w="1012"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44%</w:t>
            </w:r>
          </w:p>
        </w:tc>
        <w:tc>
          <w:tcPr>
            <w:tcW w:w="868" w:type="dxa"/>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13</w:t>
            </w:r>
          </w:p>
        </w:tc>
        <w:tc>
          <w:tcPr>
            <w:tcW w:w="1012" w:type="dxa"/>
            <w:tcBorders>
              <w:left w:val="single" w:sz="4"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43%</w:t>
            </w:r>
          </w:p>
        </w:tc>
        <w:tc>
          <w:tcPr>
            <w:tcW w:w="868" w:type="dxa"/>
            <w:tcBorders>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13</w:t>
            </w:r>
          </w:p>
        </w:tc>
      </w:tr>
      <w:tr w:rsidR="00363AEF" w:rsidTr="00363AEF">
        <w:trPr>
          <w:trHeight w:val="320"/>
        </w:trPr>
        <w:tc>
          <w:tcPr>
            <w:tcW w:w="2715" w:type="dxa"/>
            <w:tcBorders>
              <w:left w:val="single" w:sz="8" w:space="0" w:color="auto"/>
              <w:bottom w:val="single" w:sz="8" w:space="0" w:color="auto"/>
              <w:right w:val="single" w:sz="4" w:space="0" w:color="auto"/>
            </w:tcBorders>
            <w:shd w:val="clear" w:color="000000" w:fill="C5D9F1"/>
            <w:noWrap/>
          </w:tcPr>
          <w:p w:rsidR="00363AEF" w:rsidRPr="001268CD" w:rsidRDefault="00363AEF" w:rsidP="00363AEF">
            <w:pPr>
              <w:jc w:val="center"/>
              <w:rPr>
                <w:rFonts w:ascii="Calibri" w:hAnsi="Calibri"/>
                <w:b/>
                <w:color w:val="000000"/>
              </w:rPr>
            </w:pPr>
            <w:r w:rsidRPr="001268CD">
              <w:rPr>
                <w:rFonts w:ascii="Calibri" w:eastAsia="Calibri" w:hAnsi="Calibri"/>
                <w:b/>
                <w:color w:val="000000"/>
              </w:rPr>
              <w:t>Alternative 12</w:t>
            </w:r>
          </w:p>
        </w:tc>
        <w:tc>
          <w:tcPr>
            <w:tcW w:w="1012" w:type="dxa"/>
            <w:tcBorders>
              <w:bottom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45%</w:t>
            </w:r>
          </w:p>
        </w:tc>
        <w:tc>
          <w:tcPr>
            <w:tcW w:w="868" w:type="dxa"/>
            <w:tcBorders>
              <w:bottom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11</w:t>
            </w:r>
          </w:p>
        </w:tc>
        <w:tc>
          <w:tcPr>
            <w:tcW w:w="1012" w:type="dxa"/>
            <w:tcBorders>
              <w:left w:val="single" w:sz="4" w:space="0" w:color="auto"/>
              <w:bottom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44%</w:t>
            </w:r>
          </w:p>
        </w:tc>
        <w:tc>
          <w:tcPr>
            <w:tcW w:w="868" w:type="dxa"/>
            <w:tcBorders>
              <w:bottom w:val="single" w:sz="8" w:space="0" w:color="auto"/>
              <w:right w:val="single" w:sz="8" w:space="0" w:color="auto"/>
            </w:tcBorders>
            <w:shd w:val="clear" w:color="auto" w:fill="auto"/>
            <w:noWrap/>
            <w:vAlign w:val="bottom"/>
          </w:tcPr>
          <w:p w:rsidR="00363AEF" w:rsidRPr="001268CD" w:rsidRDefault="00363AEF" w:rsidP="00363AEF">
            <w:pPr>
              <w:jc w:val="center"/>
              <w:rPr>
                <w:rFonts w:ascii="Calibri" w:hAnsi="Calibri"/>
                <w:color w:val="000000"/>
              </w:rPr>
            </w:pPr>
            <w:r>
              <w:rPr>
                <w:rFonts w:ascii="Calibri" w:hAnsi="Calibri"/>
                <w:color w:val="000000"/>
              </w:rPr>
              <w:t>11</w:t>
            </w:r>
          </w:p>
        </w:tc>
      </w:tr>
    </w:tbl>
    <w:p w:rsidR="00363AEF" w:rsidRPr="001268CD" w:rsidRDefault="00363AEF" w:rsidP="00363AEF">
      <w:pPr>
        <w:rPr>
          <w:b/>
          <w:color w:val="000000"/>
        </w:rPr>
      </w:pPr>
    </w:p>
    <w:p w:rsidR="00363AEF" w:rsidRPr="001268CD" w:rsidRDefault="00363AEF" w:rsidP="00363AEF">
      <w:pPr>
        <w:rPr>
          <w:b/>
          <w:u w:val="single"/>
        </w:rPr>
      </w:pPr>
      <w:r>
        <w:rPr>
          <w:b/>
          <w:u w:val="single"/>
        </w:rPr>
        <w:t>Economic effects of risk to North Atlantic Right Whales</w:t>
      </w:r>
      <w:r w:rsidR="000242E5">
        <w:rPr>
          <w:b/>
          <w:u w:val="single"/>
        </w:rPr>
        <w:fldChar w:fldCharType="begin"/>
      </w:r>
      <w:r>
        <w:instrText xml:space="preserve"> XE "</w:instrText>
      </w:r>
      <w:r w:rsidRPr="00D8089D">
        <w:instrText>North Atlantic Right Whales</w:instrText>
      </w:r>
      <w:r>
        <w:instrText xml:space="preserve">" </w:instrText>
      </w:r>
      <w:r w:rsidR="000242E5">
        <w:rPr>
          <w:b/>
          <w:u w:val="single"/>
        </w:rPr>
        <w:fldChar w:fldCharType="end"/>
      </w:r>
      <w:r>
        <w:rPr>
          <w:b/>
          <w:u w:val="single"/>
        </w:rPr>
        <w:t xml:space="preserve"> </w:t>
      </w:r>
      <w:r w:rsidR="00F13301">
        <w:rPr>
          <w:b/>
          <w:u w:val="single"/>
        </w:rPr>
        <w:t xml:space="preserve">(NARWs) </w:t>
      </w:r>
      <w:r>
        <w:rPr>
          <w:b/>
          <w:u w:val="single"/>
        </w:rPr>
        <w:t>and the black sea bass pot sector</w:t>
      </w:r>
    </w:p>
    <w:p w:rsidR="00363AEF" w:rsidRDefault="00363AEF" w:rsidP="00363AEF"/>
    <w:p w:rsidR="00363AEF" w:rsidRDefault="00363AEF" w:rsidP="00363AEF">
      <w:pPr>
        <w:ind w:firstLine="360"/>
      </w:pPr>
      <w:r>
        <w:t>Throughout the range of the NARW</w:t>
      </w:r>
      <w:r w:rsidR="00F13301">
        <w:t>s</w:t>
      </w:r>
      <w:r>
        <w:t>, the NMFS budgeted $8.7 million in FY 2013 and $8.4 million in FY 2014 in whale recovery budgets.  As an example, NMFS (NMFS SERO PRD 2015) estimates that it cost $87,900 for a multi-agency attempt to rescue a NARW in trap</w:t>
      </w:r>
      <w:r w:rsidR="00F13301">
        <w:t>/</w:t>
      </w:r>
      <w:r>
        <w:t xml:space="preserve">pot gear in 2010/2011.  Between FY 2003 and FY 2005, the costs of actions to reduce fishery </w:t>
      </w:r>
      <w:proofErr w:type="spellStart"/>
      <w:r>
        <w:t>bycatch</w:t>
      </w:r>
      <w:proofErr w:type="spellEnd"/>
      <w:r>
        <w:t xml:space="preserve"> of NARW</w:t>
      </w:r>
      <w:r w:rsidR="00F13301">
        <w:t>s</w:t>
      </w:r>
      <w:r>
        <w:t xml:space="preserve"> were between $4.9 million and $7.7 million across several federal and NGO organizations (Reeves et al. 2007).  During the fiscal years 2003-2005, the multi-</w:t>
      </w:r>
      <w:r>
        <w:lastRenderedPageBreak/>
        <w:t>agency costs to promote NARW recovery ranged from $13.1 million to $16.7 million throughout the NARW range.</w:t>
      </w:r>
    </w:p>
    <w:p w:rsidR="00363AEF" w:rsidRDefault="00363AEF" w:rsidP="00363AEF">
      <w:pPr>
        <w:ind w:firstLine="360"/>
      </w:pPr>
    </w:p>
    <w:p w:rsidR="00363AEF" w:rsidRDefault="00363AEF" w:rsidP="00363AEF">
      <w:pPr>
        <w:ind w:firstLine="360"/>
      </w:pPr>
      <w:r>
        <w:t>Potential economic outcomes must be weighed against the chance that a NARW would become entangled in black sea bass pot gear.  SERO-LAPP-2014-09 (</w:t>
      </w:r>
      <w:r>
        <w:rPr>
          <w:b/>
        </w:rPr>
        <w:t>Appendix N</w:t>
      </w:r>
      <w:r>
        <w:t xml:space="preserve">) analyzed the potential co-occurrence of black sea bass trap pot gear and NARW in space and time across the </w:t>
      </w:r>
      <w:r>
        <w:rPr>
          <w:b/>
        </w:rPr>
        <w:t>Action 1</w:t>
      </w:r>
      <w:r>
        <w:t xml:space="preserve"> alternatives for a wide variety of potential scenarios (i.e., different assumptions regarding the distribution of trap gear, catch rates, and NARW responses to environmental conditions).  In this analysis, co-occurrence was treated as a proxy for relative entanglement risk, an assumption used in other whale risk assessment models (NMFS 2014; </w:t>
      </w:r>
      <w:proofErr w:type="spellStart"/>
      <w:r>
        <w:t>Redfern</w:t>
      </w:r>
      <w:proofErr w:type="spellEnd"/>
      <w:r>
        <w:t xml:space="preserve"> et al. 2013).  The analysis was robust with regards to the differences between alternatives, although the absolute risk of a given alternative cannot be quantified because the entanglement rate of whales in black sea bass pots is unknown.</w:t>
      </w:r>
    </w:p>
    <w:p w:rsidR="00363AEF" w:rsidRDefault="00363AEF" w:rsidP="00363AEF">
      <w:pPr>
        <w:ind w:firstLine="360"/>
      </w:pPr>
    </w:p>
    <w:p w:rsidR="00363AEF" w:rsidRDefault="00363AEF" w:rsidP="00363AEF">
      <w:pPr>
        <w:ind w:firstLine="360"/>
      </w:pPr>
      <w:r>
        <w:t xml:space="preserve">The </w:t>
      </w:r>
      <w:r>
        <w:rPr>
          <w:b/>
        </w:rPr>
        <w:t>Action 1</w:t>
      </w:r>
      <w:r>
        <w:t xml:space="preserve"> alternatives/sub-alternatives can be compared in terms of relative risk as it is operationally defined here.  However, the magnitude of the potential relative risk between the alternatives/sub-alternatives in this action cannot be estimated without knowing what the total risk would be if there were no restrictions on using black sea bass pot gear.  In this analysis, greater relative risk means the likelihood of entanglements increases when there </w:t>
      </w:r>
      <w:r w:rsidR="00956AB1">
        <w:t>is</w:t>
      </w:r>
      <w:r>
        <w:t xml:space="preserve"> more black sea bass pot gear in the water at the same time there is an increase in the presence of whales.  In this sense, the alternatives/sub-alternatives can be ranked (e.g., most relative risk to least relative risk); however, the absolute additional amount of risk posed by one alternative/sub-alternative cannot be compared to the absolute amount of risk posed by another alternative/sub-alternative. </w:t>
      </w:r>
    </w:p>
    <w:p w:rsidR="00AF014F" w:rsidRDefault="00AF014F" w:rsidP="00AF014F">
      <w:pPr>
        <w:ind w:firstLine="360"/>
      </w:pPr>
    </w:p>
    <w:p w:rsidR="00AF014F" w:rsidRPr="00A85D2E" w:rsidRDefault="00AF014F" w:rsidP="00AF014F">
      <w:pPr>
        <w:ind w:firstLine="360"/>
        <w:rPr>
          <w:strike/>
        </w:rPr>
      </w:pPr>
      <w:r>
        <w:t xml:space="preserve">Given these caveats for understanding the relative risk, </w:t>
      </w:r>
      <w:r w:rsidRPr="00197DB2">
        <w:rPr>
          <w:b/>
        </w:rPr>
        <w:t xml:space="preserve">Figure </w:t>
      </w:r>
      <w:r w:rsidR="00EB6AD2">
        <w:rPr>
          <w:b/>
        </w:rPr>
        <w:t>1</w:t>
      </w:r>
      <w:r>
        <w:t xml:space="preserve"> shows the two separate price per pound time series, the two models used to estimate NARW relative risk from black sea bass pot gear, and the difference between each of the alternatives/sub-alternatives for </w:t>
      </w:r>
      <w:r>
        <w:rPr>
          <w:b/>
        </w:rPr>
        <w:t>Action 1</w:t>
      </w:r>
      <w:r>
        <w:t xml:space="preserve"> compared to </w:t>
      </w:r>
      <w:r>
        <w:rPr>
          <w:b/>
        </w:rPr>
        <w:t>Alternative 1 (No Action)</w:t>
      </w:r>
      <w:r>
        <w:t xml:space="preserve">. </w:t>
      </w:r>
      <w:r w:rsidRPr="00B25DE8">
        <w:t xml:space="preserve">For Florida through South Carolina, </w:t>
      </w:r>
      <w:r w:rsidRPr="00B25DE8">
        <w:rPr>
          <w:b/>
        </w:rPr>
        <w:t>Alternatives 4</w:t>
      </w:r>
      <w:r w:rsidRPr="00B25DE8">
        <w:t xml:space="preserve"> and </w:t>
      </w:r>
      <w:r w:rsidRPr="00B25DE8">
        <w:rPr>
          <w:b/>
        </w:rPr>
        <w:t>6</w:t>
      </w:r>
      <w:r w:rsidRPr="00B25DE8">
        <w:t xml:space="preserve"> provide the least relative risk to the NARW while </w:t>
      </w:r>
      <w:r w:rsidRPr="00B25DE8">
        <w:rPr>
          <w:b/>
        </w:rPr>
        <w:t>Alternative 2</w:t>
      </w:r>
      <w:r w:rsidRPr="00B25DE8">
        <w:t xml:space="preserve"> provides the greatest relative risk to the NARW.  For North Carolina, </w:t>
      </w:r>
      <w:r w:rsidRPr="00B25DE8">
        <w:rPr>
          <w:b/>
        </w:rPr>
        <w:t>Alternatives 4 - 6</w:t>
      </w:r>
      <w:r w:rsidRPr="00B25DE8">
        <w:t xml:space="preserve"> provide the least relative risk to the NARW while </w:t>
      </w:r>
      <w:r w:rsidRPr="00B25DE8">
        <w:rPr>
          <w:b/>
        </w:rPr>
        <w:t>Alternative 2</w:t>
      </w:r>
      <w:r w:rsidRPr="00B25DE8">
        <w:t xml:space="preserve"> provides the greatest relative risk to the NARW.  Using 2011</w:t>
      </w:r>
      <w:r>
        <w:t>-</w:t>
      </w:r>
      <w:r w:rsidRPr="00B25DE8">
        <w:t xml:space="preserve">2013 </w:t>
      </w:r>
      <w:proofErr w:type="gramStart"/>
      <w:r w:rsidRPr="00B25DE8">
        <w:t>price</w:t>
      </w:r>
      <w:proofErr w:type="gramEnd"/>
      <w:r w:rsidRPr="00B25DE8">
        <w:t xml:space="preserve"> per pound estimates, </w:t>
      </w:r>
      <w:r w:rsidRPr="00B25DE8">
        <w:rPr>
          <w:b/>
        </w:rPr>
        <w:t>Sub-Alternative 8b</w:t>
      </w:r>
      <w:r w:rsidRPr="00B25DE8">
        <w:t xml:space="preserve"> has the potential to provide the highest level of ex-vessel value for all the South Atlantic States.  Using 2000</w:t>
      </w:r>
      <w:r>
        <w:t>-</w:t>
      </w:r>
      <w:r w:rsidRPr="00B25DE8">
        <w:t xml:space="preserve">2013 </w:t>
      </w:r>
      <w:proofErr w:type="gramStart"/>
      <w:r w:rsidRPr="00B25DE8">
        <w:t>price</w:t>
      </w:r>
      <w:proofErr w:type="gramEnd"/>
      <w:r w:rsidRPr="00B25DE8">
        <w:t xml:space="preserve"> per pound estimates, </w:t>
      </w:r>
      <w:r w:rsidRPr="00B25DE8">
        <w:rPr>
          <w:b/>
        </w:rPr>
        <w:t>Alternative 2</w:t>
      </w:r>
      <w:r w:rsidRPr="00B25DE8">
        <w:t xml:space="preserve"> has the potential to provide the highest level of ex-vessel value for all the South Atlantic States.</w:t>
      </w:r>
    </w:p>
    <w:p w:rsidR="002E6786" w:rsidRDefault="002E6786" w:rsidP="002E6786">
      <w:bookmarkStart w:id="33" w:name="_Toc302115377"/>
      <w:r>
        <w:rPr>
          <w:noProof/>
        </w:rPr>
        <w:lastRenderedPageBreak/>
        <w:drawing>
          <wp:inline distT="0" distB="0" distL="0" distR="0">
            <wp:extent cx="5824855" cy="3543300"/>
            <wp:effectExtent l="0" t="0" r="17145"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extent cx="5825425" cy="4100830"/>
            <wp:effectExtent l="0" t="0" r="17145"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F014F" w:rsidRDefault="002E6786" w:rsidP="002E6786">
      <w:pPr>
        <w:pStyle w:val="Figuretitle"/>
        <w:rPr>
          <w:rFonts w:ascii="Arial" w:hAnsi="Arial" w:cs="Arial"/>
          <w:sz w:val="20"/>
          <w:szCs w:val="20"/>
        </w:rPr>
      </w:pPr>
      <w:bookmarkStart w:id="34" w:name="h.356xmb2" w:colFirst="0" w:colLast="0"/>
      <w:bookmarkEnd w:id="34"/>
      <w:proofErr w:type="gramStart"/>
      <w:r>
        <w:rPr>
          <w:rFonts w:ascii="Arial" w:eastAsia="Arial" w:hAnsi="Arial" w:cs="Arial"/>
          <w:b/>
          <w:sz w:val="20"/>
          <w:szCs w:val="20"/>
        </w:rPr>
        <w:t>Figure 1.</w:t>
      </w:r>
      <w:proofErr w:type="gramEnd"/>
      <w:r>
        <w:rPr>
          <w:rFonts w:ascii="Arial" w:eastAsia="Arial" w:hAnsi="Arial" w:cs="Arial"/>
          <w:b/>
          <w:sz w:val="20"/>
          <w:szCs w:val="20"/>
        </w:rPr>
        <w:t xml:space="preserve">  </w:t>
      </w:r>
      <w:r>
        <w:rPr>
          <w:rFonts w:ascii="Arial" w:eastAsia="Arial" w:hAnsi="Arial" w:cs="Arial"/>
          <w:sz w:val="20"/>
          <w:szCs w:val="20"/>
        </w:rPr>
        <w:t xml:space="preserve">Estimated change in value of commercial black sea bass fishery versus relative right </w:t>
      </w:r>
      <w:r w:rsidR="00AF014F" w:rsidRPr="00190C8B">
        <w:rPr>
          <w:rFonts w:ascii="Arial" w:hAnsi="Arial" w:cs="Arial"/>
          <w:sz w:val="20"/>
          <w:szCs w:val="20"/>
        </w:rPr>
        <w:t>whale risk off FL-SC (</w:t>
      </w:r>
      <w:r>
        <w:rPr>
          <w:rFonts w:ascii="Arial" w:hAnsi="Arial" w:cs="Arial"/>
          <w:sz w:val="20"/>
          <w:szCs w:val="20"/>
        </w:rPr>
        <w:t>top</w:t>
      </w:r>
      <w:r w:rsidR="00AF014F" w:rsidRPr="00190C8B">
        <w:rPr>
          <w:rFonts w:ascii="Arial" w:hAnsi="Arial" w:cs="Arial"/>
          <w:sz w:val="20"/>
          <w:szCs w:val="20"/>
        </w:rPr>
        <w:t>) and NC (</w:t>
      </w:r>
      <w:r>
        <w:rPr>
          <w:rFonts w:ascii="Arial" w:hAnsi="Arial" w:cs="Arial"/>
          <w:sz w:val="20"/>
          <w:szCs w:val="20"/>
        </w:rPr>
        <w:t>bottom</w:t>
      </w:r>
      <w:r w:rsidR="00AF014F" w:rsidRPr="00190C8B">
        <w:rPr>
          <w:rFonts w:ascii="Arial" w:hAnsi="Arial" w:cs="Arial"/>
          <w:sz w:val="20"/>
          <w:szCs w:val="20"/>
        </w:rPr>
        <w:t xml:space="preserve"> for spatial closure alternatives proposed in Regulatory Amendment 16.</w:t>
      </w:r>
      <w:bookmarkEnd w:id="33"/>
    </w:p>
    <w:p w:rsidR="00B97FEA" w:rsidRDefault="00B97FEA" w:rsidP="00B97FEA"/>
    <w:p w:rsidR="00652335" w:rsidRDefault="00652335" w:rsidP="00652335">
      <w:pPr>
        <w:spacing w:line="276" w:lineRule="auto"/>
        <w:outlineLvl w:val="0"/>
        <w:rPr>
          <w:sz w:val="28"/>
          <w:szCs w:val="28"/>
        </w:rPr>
      </w:pPr>
      <w:r>
        <w:rPr>
          <w:b/>
          <w:sz w:val="28"/>
          <w:szCs w:val="28"/>
        </w:rPr>
        <w:t>Social Effects:</w:t>
      </w:r>
    </w:p>
    <w:p w:rsidR="00652335" w:rsidRDefault="00652335" w:rsidP="00B97FEA"/>
    <w:p w:rsidR="00BA61B7" w:rsidRDefault="00BA61B7" w:rsidP="00BA61B7">
      <w:r>
        <w:t xml:space="preserve">The social effects of removal or modifications to the seasonal closure for black sea bass pots include direct effects on participants in the black sea bass pot fishery and direct effects on participants in the hook-and-line (and other gear types) portion of the black sea bass fishery.  For pot fishermen, the potential effects are primarily associated with foregone economic benefits due to restricted or no access to the black sea bass resource during the winter.  For hook-and-line fishermen, the potential effects of removal or modifications to the seasonal closure for black sea bass pots are associated with greater competition with pot fishermen, less access to the increased black sea bass ACL, and a likely shorter fishing season because the ACL would be more available to the pot fishermen, who make up most of the landings.  Minimal indirect effects are expected for recreational anglers and for-hire businesses.  </w:t>
      </w:r>
    </w:p>
    <w:p w:rsidR="00EB6AD2" w:rsidRDefault="00EB6AD2" w:rsidP="00BA61B7"/>
    <w:p w:rsidR="00923995" w:rsidRPr="00104397" w:rsidRDefault="00923995" w:rsidP="00923995">
      <w:pPr>
        <w:pStyle w:val="Tabletitle"/>
        <w:rPr>
          <w:rFonts w:eastAsiaTheme="minorHAnsi"/>
          <w:bCs w:val="0"/>
        </w:rPr>
      </w:pPr>
    </w:p>
    <w:p w:rsidR="00923995" w:rsidRPr="00616F74" w:rsidRDefault="00923995" w:rsidP="00923995">
      <w:pPr>
        <w:rPr>
          <w:b/>
          <w:highlight w:val="yellow"/>
        </w:rPr>
      </w:pPr>
      <w:r w:rsidRPr="00616F74">
        <w:rPr>
          <w:b/>
          <w:highlight w:val="yellow"/>
        </w:rPr>
        <w:t>REQUIRED COMMITTEE ACTION:</w:t>
      </w:r>
    </w:p>
    <w:p w:rsidR="00923995" w:rsidRPr="00616F74" w:rsidRDefault="00923995" w:rsidP="00923995">
      <w:pPr>
        <w:ind w:firstLine="720"/>
        <w:rPr>
          <w:highlight w:val="yellow"/>
        </w:rPr>
      </w:pPr>
      <w:r w:rsidRPr="00616F74">
        <w:rPr>
          <w:highlight w:val="yellow"/>
        </w:rPr>
        <w:t xml:space="preserve">Option 1: </w:t>
      </w:r>
      <w:r>
        <w:rPr>
          <w:highlight w:val="yellow"/>
        </w:rPr>
        <w:t>Accept modifications to Preferred Alternative 11 and Alternative 12</w:t>
      </w:r>
      <w:r w:rsidR="00870E76">
        <w:rPr>
          <w:highlight w:val="yellow"/>
        </w:rPr>
        <w:t xml:space="preserve"> in Action 1.</w:t>
      </w:r>
    </w:p>
    <w:p w:rsidR="00923995" w:rsidRPr="00616F74" w:rsidRDefault="00923995" w:rsidP="00923995">
      <w:pPr>
        <w:ind w:firstLine="720"/>
        <w:rPr>
          <w:highlight w:val="yellow"/>
        </w:rPr>
      </w:pPr>
      <w:r w:rsidRPr="00616F74">
        <w:rPr>
          <w:highlight w:val="yellow"/>
        </w:rPr>
        <w:t xml:space="preserve">Option 2: </w:t>
      </w:r>
      <w:r>
        <w:rPr>
          <w:highlight w:val="yellow"/>
        </w:rPr>
        <w:t>Do not accept modifications to Preferred Alternative 11 and Alternative 12</w:t>
      </w:r>
      <w:r w:rsidR="00870E76">
        <w:rPr>
          <w:highlight w:val="yellow"/>
        </w:rPr>
        <w:t xml:space="preserve"> in Action 1.</w:t>
      </w:r>
    </w:p>
    <w:p w:rsidR="00923995" w:rsidRDefault="00923995" w:rsidP="00923995">
      <w:pPr>
        <w:ind w:firstLine="720"/>
      </w:pPr>
      <w:r w:rsidRPr="00616F74">
        <w:rPr>
          <w:highlight w:val="yellow"/>
        </w:rPr>
        <w:t xml:space="preserve">Option 3: </w:t>
      </w:r>
      <w:r>
        <w:rPr>
          <w:highlight w:val="yellow"/>
        </w:rPr>
        <w:t>Others??</w:t>
      </w:r>
    </w:p>
    <w:p w:rsidR="00923995" w:rsidRDefault="00923995" w:rsidP="00BA61B7"/>
    <w:p w:rsidR="00026E9A" w:rsidRDefault="00026E9A" w:rsidP="00026E9A">
      <w:pPr>
        <w:ind w:firstLine="720"/>
      </w:pPr>
    </w:p>
    <w:p w:rsidR="00026E9A" w:rsidRDefault="00026E9A" w:rsidP="00026E9A">
      <w:pPr>
        <w:rPr>
          <w:b/>
          <w:sz w:val="48"/>
          <w:szCs w:val="48"/>
        </w:rPr>
      </w:pPr>
      <w:r>
        <w:rPr>
          <w:b/>
          <w:sz w:val="48"/>
          <w:szCs w:val="48"/>
        </w:rPr>
        <w:t xml:space="preserve">MOTION: </w:t>
      </w:r>
      <w:r w:rsidR="00244D18">
        <w:rPr>
          <w:b/>
          <w:sz w:val="48"/>
          <w:szCs w:val="48"/>
        </w:rPr>
        <w:t>ACCEPT</w:t>
      </w:r>
      <w:r w:rsidR="00244D18">
        <w:rPr>
          <w:b/>
          <w:sz w:val="48"/>
          <w:szCs w:val="48"/>
        </w:rPr>
        <w:tab/>
        <w:t xml:space="preserve"> MODIFICATIONS TO WORDING FOR Preferred ALTERNATIVE 11 AND ALTERNATIVE 12.</w:t>
      </w:r>
    </w:p>
    <w:p w:rsidR="00244D18" w:rsidRPr="00026E9A" w:rsidRDefault="00244D18" w:rsidP="00026E9A">
      <w:pPr>
        <w:rPr>
          <w:b/>
          <w:sz w:val="48"/>
          <w:szCs w:val="48"/>
        </w:rPr>
      </w:pPr>
      <w:r>
        <w:rPr>
          <w:b/>
          <w:sz w:val="48"/>
          <w:szCs w:val="48"/>
        </w:rPr>
        <w:t>MOTION APPROVED BY COMMITTEE</w:t>
      </w:r>
    </w:p>
    <w:p w:rsidR="00923995" w:rsidRPr="00104397" w:rsidRDefault="00923995" w:rsidP="00923995">
      <w:pPr>
        <w:pStyle w:val="Tabletitle"/>
        <w:rPr>
          <w:rFonts w:eastAsiaTheme="minorHAnsi"/>
          <w:bCs w:val="0"/>
        </w:rPr>
      </w:pPr>
    </w:p>
    <w:p w:rsidR="00923995" w:rsidRDefault="00923995" w:rsidP="00BA61B7"/>
    <w:p w:rsidR="00026E9A" w:rsidRPr="00026E9A" w:rsidRDefault="00026E9A" w:rsidP="00BA61B7">
      <w:pPr>
        <w:rPr>
          <w:b/>
          <w:sz w:val="32"/>
          <w:szCs w:val="32"/>
        </w:rPr>
      </w:pPr>
      <w:r w:rsidRPr="00026E9A">
        <w:rPr>
          <w:b/>
          <w:sz w:val="32"/>
          <w:szCs w:val="32"/>
        </w:rPr>
        <w:t xml:space="preserve">Transit Provision  </w:t>
      </w:r>
    </w:p>
    <w:p w:rsidR="00026E9A" w:rsidRDefault="00480590" w:rsidP="00BA61B7">
      <w:r>
        <w:t>A</w:t>
      </w:r>
      <w:r w:rsidR="00026E9A">
        <w:t xml:space="preserve"> transit provision </w:t>
      </w:r>
      <w:r>
        <w:t xml:space="preserve">needs to be </w:t>
      </w:r>
      <w:r w:rsidR="00026E9A">
        <w:t>added to th</w:t>
      </w:r>
      <w:r>
        <w:t xml:space="preserve">e amendment </w:t>
      </w:r>
      <w:r w:rsidR="00026E9A">
        <w:t>to be consistent with Snapper Grouper</w:t>
      </w:r>
      <w:r>
        <w:t xml:space="preserve"> Amendments like</w:t>
      </w:r>
      <w:r w:rsidR="00026E9A">
        <w:t xml:space="preserve"> Amendment 36.  Wording needs to be added to the amendment</w:t>
      </w:r>
      <w:r>
        <w:t xml:space="preserve"> (probably in chapter 2)</w:t>
      </w:r>
      <w:r w:rsidR="00026E9A">
        <w:t xml:space="preserve"> as follows to be consistent between the amendments</w:t>
      </w:r>
      <w:r>
        <w:t xml:space="preserve"> and the codified text</w:t>
      </w:r>
      <w:r w:rsidR="00026E9A">
        <w:t>:</w:t>
      </w:r>
    </w:p>
    <w:p w:rsidR="00026E9A" w:rsidRPr="000405DE" w:rsidRDefault="00026E9A" w:rsidP="00BA61B7">
      <w:pPr>
        <w:rPr>
          <w:rFonts w:cs="Times New Roman"/>
          <w:szCs w:val="24"/>
        </w:rPr>
      </w:pPr>
      <w:bookmarkStart w:id="35" w:name="_GoBack"/>
      <w:bookmarkEnd w:id="35"/>
      <w:r w:rsidRPr="000405DE">
        <w:rPr>
          <w:rFonts w:cs="Times New Roman"/>
          <w:szCs w:val="24"/>
          <w:highlight w:val="yellow"/>
        </w:rPr>
        <w:t>“</w:t>
      </w:r>
      <w:r w:rsidR="000405DE" w:rsidRPr="000405DE">
        <w:rPr>
          <w:rFonts w:cs="Times New Roman"/>
          <w:szCs w:val="24"/>
          <w:highlight w:val="yellow"/>
        </w:rPr>
        <w:t xml:space="preserve">Sea bass pots must be removed from the water in the applicable closed area within the South Atlantic EEZ before the applicable time period, and may not be onboard a vessel in the closed area within the South Atlantic EEZ during the applicable closure, except for such sea bass pot gear appropriately stowed onboard a vessel in transit through the closed area.  </w:t>
      </w:r>
      <w:r w:rsidR="000405DE" w:rsidRPr="00702C3D">
        <w:rPr>
          <w:rFonts w:cs="Times New Roman"/>
          <w:szCs w:val="24"/>
          <w:highlight w:val="cyan"/>
        </w:rPr>
        <w:t xml:space="preserve">Transit </w:t>
      </w:r>
      <w:r w:rsidR="00702C3D" w:rsidRPr="00702C3D">
        <w:rPr>
          <w:rFonts w:cs="Times New Roman"/>
          <w:szCs w:val="24"/>
          <w:highlight w:val="cyan"/>
        </w:rPr>
        <w:t xml:space="preserve">means non-stop progression through the area; fishing gear appropriately stowed means all black sea bass pot gear must be out of the water and on board the deck of the vessel. All buoys must </w:t>
      </w:r>
      <w:r w:rsidR="00702C3D" w:rsidRPr="00702C3D">
        <w:rPr>
          <w:rFonts w:cs="Times New Roman"/>
          <w:szCs w:val="24"/>
          <w:highlight w:val="cyan"/>
        </w:rPr>
        <w:lastRenderedPageBreak/>
        <w:t>either be disconnected from the gear or stowed within the sea bass pot. Disconnected buoys may remain on deck.</w:t>
      </w:r>
      <w:r w:rsidRPr="000405DE">
        <w:rPr>
          <w:rFonts w:cs="Times New Roman"/>
          <w:szCs w:val="24"/>
          <w:highlight w:val="yellow"/>
        </w:rPr>
        <w:t>”</w:t>
      </w:r>
    </w:p>
    <w:p w:rsidR="00026E9A" w:rsidRPr="00616F74" w:rsidRDefault="00026E9A" w:rsidP="00026E9A">
      <w:pPr>
        <w:rPr>
          <w:b/>
          <w:highlight w:val="yellow"/>
        </w:rPr>
      </w:pPr>
      <w:r w:rsidRPr="00616F74">
        <w:rPr>
          <w:b/>
          <w:highlight w:val="yellow"/>
        </w:rPr>
        <w:t>REQUIRED COMMITTEE ACTION:</w:t>
      </w:r>
    </w:p>
    <w:p w:rsidR="00026E9A" w:rsidRPr="00616F74" w:rsidRDefault="00026E9A" w:rsidP="00026E9A">
      <w:pPr>
        <w:ind w:firstLine="720"/>
        <w:rPr>
          <w:highlight w:val="yellow"/>
        </w:rPr>
      </w:pPr>
      <w:r w:rsidRPr="00616F74">
        <w:rPr>
          <w:highlight w:val="yellow"/>
        </w:rPr>
        <w:t xml:space="preserve">Option 1: </w:t>
      </w:r>
      <w:r>
        <w:rPr>
          <w:highlight w:val="yellow"/>
        </w:rPr>
        <w:t>Accept transit provision language for Action 1.</w:t>
      </w:r>
    </w:p>
    <w:p w:rsidR="00026E9A" w:rsidRPr="00616F74" w:rsidRDefault="00026E9A" w:rsidP="00026E9A">
      <w:pPr>
        <w:ind w:firstLine="720"/>
        <w:rPr>
          <w:highlight w:val="yellow"/>
        </w:rPr>
      </w:pPr>
      <w:r w:rsidRPr="00616F74">
        <w:rPr>
          <w:highlight w:val="yellow"/>
        </w:rPr>
        <w:t xml:space="preserve">Option 2: </w:t>
      </w:r>
      <w:r>
        <w:rPr>
          <w:highlight w:val="yellow"/>
        </w:rPr>
        <w:t>Do not accept transit provision language for Action 1.</w:t>
      </w:r>
    </w:p>
    <w:p w:rsidR="00026E9A" w:rsidRDefault="00026E9A" w:rsidP="00026E9A">
      <w:pPr>
        <w:ind w:firstLine="720"/>
      </w:pPr>
      <w:r w:rsidRPr="00616F74">
        <w:rPr>
          <w:highlight w:val="yellow"/>
        </w:rPr>
        <w:t xml:space="preserve">Option 3: </w:t>
      </w:r>
      <w:r>
        <w:rPr>
          <w:highlight w:val="yellow"/>
        </w:rPr>
        <w:t>Others??</w:t>
      </w:r>
    </w:p>
    <w:p w:rsidR="00026E9A" w:rsidRDefault="00026E9A" w:rsidP="00BA61B7"/>
    <w:p w:rsidR="009E497B" w:rsidRDefault="009E497B" w:rsidP="009E497B">
      <w:pPr>
        <w:ind w:firstLine="720"/>
      </w:pPr>
    </w:p>
    <w:p w:rsidR="009E497B" w:rsidRDefault="009E497B" w:rsidP="009E497B">
      <w:pPr>
        <w:rPr>
          <w:b/>
          <w:sz w:val="48"/>
          <w:szCs w:val="48"/>
        </w:rPr>
      </w:pPr>
      <w:r>
        <w:rPr>
          <w:b/>
          <w:sz w:val="48"/>
          <w:szCs w:val="48"/>
        </w:rPr>
        <w:t xml:space="preserve">MOTION: </w:t>
      </w:r>
      <w:r w:rsidR="00733DBF">
        <w:rPr>
          <w:b/>
          <w:sz w:val="48"/>
          <w:szCs w:val="48"/>
        </w:rPr>
        <w:t>ACCEPT THE REVISED TRANSIT PROVISIONS FOR ACTION 1.</w:t>
      </w:r>
    </w:p>
    <w:p w:rsidR="00733DBF" w:rsidRPr="00026E9A" w:rsidRDefault="00733DBF" w:rsidP="009E497B">
      <w:pPr>
        <w:rPr>
          <w:b/>
          <w:sz w:val="48"/>
          <w:szCs w:val="48"/>
        </w:rPr>
      </w:pPr>
      <w:r>
        <w:rPr>
          <w:b/>
          <w:sz w:val="48"/>
          <w:szCs w:val="48"/>
        </w:rPr>
        <w:t>MOTION APPROVED BY COMMITTEE</w:t>
      </w:r>
    </w:p>
    <w:p w:rsidR="009E497B" w:rsidRDefault="009E497B">
      <w:pPr>
        <w:rPr>
          <w:b/>
          <w:color w:val="1F497D" w:themeColor="text2"/>
          <w:sz w:val="28"/>
          <w:szCs w:val="28"/>
        </w:rPr>
      </w:pPr>
      <w:r>
        <w:rPr>
          <w:b/>
          <w:color w:val="1F497D" w:themeColor="text2"/>
          <w:sz w:val="28"/>
          <w:szCs w:val="28"/>
        </w:rPr>
        <w:br w:type="page"/>
      </w:r>
    </w:p>
    <w:p w:rsidR="00652335" w:rsidRPr="00287C04" w:rsidRDefault="00652335" w:rsidP="00652335">
      <w:pPr>
        <w:tabs>
          <w:tab w:val="left" w:pos="1215"/>
        </w:tabs>
        <w:spacing w:line="276" w:lineRule="auto"/>
        <w:outlineLvl w:val="0"/>
        <w:rPr>
          <w:b/>
          <w:color w:val="1F497D" w:themeColor="text2"/>
          <w:sz w:val="28"/>
          <w:szCs w:val="28"/>
        </w:rPr>
      </w:pPr>
      <w:proofErr w:type="gramStart"/>
      <w:r>
        <w:rPr>
          <w:b/>
          <w:color w:val="1F497D" w:themeColor="text2"/>
          <w:sz w:val="28"/>
          <w:szCs w:val="28"/>
        </w:rPr>
        <w:lastRenderedPageBreak/>
        <w:t>Action 2</w:t>
      </w:r>
      <w:r w:rsidRPr="00C530FE">
        <w:rPr>
          <w:b/>
          <w:color w:val="1F497D" w:themeColor="text2"/>
          <w:sz w:val="28"/>
          <w:szCs w:val="28"/>
        </w:rPr>
        <w:t>.</w:t>
      </w:r>
      <w:proofErr w:type="gramEnd"/>
      <w:r w:rsidRPr="00C530FE">
        <w:rPr>
          <w:b/>
          <w:color w:val="1F497D" w:themeColor="text2"/>
          <w:sz w:val="28"/>
          <w:szCs w:val="28"/>
        </w:rPr>
        <w:t xml:space="preserve">  </w:t>
      </w:r>
      <w:r>
        <w:rPr>
          <w:b/>
          <w:color w:val="1F497D" w:themeColor="text2"/>
          <w:sz w:val="28"/>
          <w:szCs w:val="28"/>
        </w:rPr>
        <w:t xml:space="preserve">Enhance the existing </w:t>
      </w:r>
      <w:r w:rsidRPr="00E2282D">
        <w:rPr>
          <w:b/>
          <w:color w:val="1F497D" w:themeColor="text2"/>
          <w:sz w:val="28"/>
          <w:szCs w:val="28"/>
        </w:rPr>
        <w:t>Atlantic Large Whale Take Reduction Plan (ALWTRP)</w:t>
      </w:r>
      <w:r>
        <w:rPr>
          <w:b/>
          <w:color w:val="1F497D" w:themeColor="text2"/>
          <w:sz w:val="28"/>
          <w:szCs w:val="28"/>
        </w:rPr>
        <w:t xml:space="preserve"> buoy line/weak link gear requirements and buoy line rope marking for black sea bass pots</w:t>
      </w:r>
    </w:p>
    <w:p w:rsidR="00652335" w:rsidRDefault="00652335" w:rsidP="00652335">
      <w:pPr>
        <w:ind w:left="720"/>
        <w:outlineLvl w:val="0"/>
        <w:rPr>
          <w:b/>
        </w:rPr>
      </w:pPr>
    </w:p>
    <w:p w:rsidR="004B4FC5" w:rsidRDefault="004B4FC5" w:rsidP="004B4FC5">
      <w:r>
        <w:t xml:space="preserve">One or more actions </w:t>
      </w:r>
      <w:r w:rsidR="00652F56">
        <w:t xml:space="preserve">in addition to the requirements under </w:t>
      </w:r>
      <w:r>
        <w:rPr>
          <w:b/>
        </w:rPr>
        <w:t>Alternative 1 (No A</w:t>
      </w:r>
      <w:r w:rsidRPr="00DD2586">
        <w:rPr>
          <w:b/>
        </w:rPr>
        <w:t>ction)</w:t>
      </w:r>
      <w:r>
        <w:t xml:space="preserve"> may be chosen.</w:t>
      </w:r>
    </w:p>
    <w:p w:rsidR="004B4FC5" w:rsidRPr="00E73E02" w:rsidRDefault="004B4FC5" w:rsidP="004B4FC5"/>
    <w:p w:rsidR="004B4FC5" w:rsidRPr="00B4502A" w:rsidRDefault="004B4FC5" w:rsidP="004B4FC5">
      <w:proofErr w:type="gramStart"/>
      <w:r w:rsidRPr="00B4502A">
        <w:rPr>
          <w:b/>
        </w:rPr>
        <w:t>Alternative 1 (No Action).</w:t>
      </w:r>
      <w:proofErr w:type="gramEnd"/>
      <w:r w:rsidRPr="00B4502A">
        <w:rPr>
          <w:b/>
        </w:rPr>
        <w:t xml:space="preserve"> </w:t>
      </w:r>
      <w:r w:rsidRPr="000B2D17">
        <w:t xml:space="preserve">Commercial black sea bass fishermen are required to abide by the pot configuration restrictions, pot escape mechanism requirements, and pot construction </w:t>
      </w:r>
      <w:r w:rsidRPr="00EB3CBB">
        <w:t>and escape mechanism</w:t>
      </w:r>
      <w:r w:rsidRPr="000B2D17">
        <w:t xml:space="preserve"> requirements contained in 50 CFR § 622.189 (see discussion below).  Additionally, c</w:t>
      </w:r>
      <w:r w:rsidRPr="00B4502A">
        <w:t>ommercial fishermen</w:t>
      </w:r>
      <w:r w:rsidR="000242E5" w:rsidRPr="00B4502A">
        <w:fldChar w:fldCharType="begin"/>
      </w:r>
      <w:r w:rsidRPr="00B4502A">
        <w:instrText xml:space="preserve"> XE "Commercial fishermen" </w:instrText>
      </w:r>
      <w:r w:rsidR="000242E5" w:rsidRPr="00B4502A">
        <w:fldChar w:fldCharType="end"/>
      </w:r>
      <w:r w:rsidRPr="00B4502A">
        <w:t xml:space="preserve"> will continue to fish in compliance with</w:t>
      </w:r>
      <w:r w:rsidRPr="00B4502A" w:rsidDel="00D96AD6">
        <w:t xml:space="preserve"> </w:t>
      </w:r>
      <w:r w:rsidRPr="00B4502A">
        <w:t>existing buoy line and weak link gear requirements for black sea bass pots as required by the ALWTRP</w:t>
      </w:r>
      <w:r>
        <w:t xml:space="preserve"> (</w:t>
      </w:r>
      <w:r w:rsidRPr="00BB4C54">
        <w:t xml:space="preserve">50 CFR </w:t>
      </w:r>
      <w:r>
        <w:rPr>
          <w:b/>
        </w:rPr>
        <w:t xml:space="preserve">§ </w:t>
      </w:r>
      <w:r w:rsidRPr="00BB4C54">
        <w:t>229.32</w:t>
      </w:r>
      <w:r>
        <w:t>)</w:t>
      </w:r>
      <w:r w:rsidRPr="00B4502A">
        <w:t>.</w:t>
      </w:r>
    </w:p>
    <w:p w:rsidR="004B4FC5" w:rsidRPr="00B4502A" w:rsidRDefault="004B4FC5" w:rsidP="004B4FC5"/>
    <w:p w:rsidR="004B4FC5" w:rsidRPr="00B4502A" w:rsidRDefault="004B4FC5" w:rsidP="004B4FC5">
      <w:proofErr w:type="gramStart"/>
      <w:r w:rsidRPr="00B4502A">
        <w:rPr>
          <w:b/>
        </w:rPr>
        <w:t>Alternative 2.</w:t>
      </w:r>
      <w:proofErr w:type="gramEnd"/>
      <w:r w:rsidRPr="00B4502A">
        <w:t xml:space="preserve">  </w:t>
      </w:r>
      <w:r>
        <w:t xml:space="preserve">In addition to the requirements in </w:t>
      </w:r>
      <w:r w:rsidRPr="009218F3">
        <w:t>50 CFR § 622.189</w:t>
      </w:r>
      <w:r>
        <w:rPr>
          <w:b/>
        </w:rPr>
        <w:t xml:space="preserve">, </w:t>
      </w:r>
      <w:r>
        <w:t>enhance</w:t>
      </w:r>
      <w:r w:rsidRPr="00B4502A">
        <w:t xml:space="preserve"> the current ALWTRP buoy line requirements</w:t>
      </w:r>
      <w:r w:rsidRPr="00140C83">
        <w:t xml:space="preserve"> </w:t>
      </w:r>
      <w:r>
        <w:t>f</w:t>
      </w:r>
      <w:r w:rsidRPr="00B4502A">
        <w:t>rom November 1 through April 30</w:t>
      </w:r>
      <w:r>
        <w:t xml:space="preserve"> </w:t>
      </w:r>
      <w:r w:rsidRPr="00B4502A">
        <w:t xml:space="preserve">in federal waters in the South Atlantic EEZ.  </w:t>
      </w:r>
    </w:p>
    <w:p w:rsidR="004B4FC5" w:rsidRPr="00B4502A" w:rsidRDefault="004B4FC5" w:rsidP="004B4FC5">
      <w:pPr>
        <w:ind w:left="720"/>
      </w:pPr>
      <w:r w:rsidRPr="00B4502A">
        <w:rPr>
          <w:b/>
        </w:rPr>
        <w:t>Sub-alternative 2a:</w:t>
      </w:r>
      <w:r>
        <w:rPr>
          <w:b/>
        </w:rPr>
        <w:t xml:space="preserve"> </w:t>
      </w:r>
      <w:r>
        <w:t>T</w:t>
      </w:r>
      <w:r w:rsidRPr="00B4502A">
        <w:t>he breaking strength must not exceed 2,200 lbs</w:t>
      </w:r>
      <w:r w:rsidR="000242E5" w:rsidRPr="00B4502A">
        <w:fldChar w:fldCharType="begin"/>
      </w:r>
      <w:r w:rsidRPr="00B4502A">
        <w:instrText xml:space="preserve"> XE "South Atlantic EEZ" </w:instrText>
      </w:r>
      <w:r w:rsidR="000242E5" w:rsidRPr="00B4502A">
        <w:fldChar w:fldCharType="end"/>
      </w:r>
      <w:r w:rsidRPr="00B4502A">
        <w:t xml:space="preserve">. </w:t>
      </w:r>
    </w:p>
    <w:p w:rsidR="004B4FC5" w:rsidRPr="00B4502A" w:rsidRDefault="004B4FC5" w:rsidP="004B4FC5">
      <w:pPr>
        <w:ind w:left="720"/>
      </w:pPr>
      <w:r w:rsidRPr="009E02E6">
        <w:rPr>
          <w:b/>
        </w:rPr>
        <w:t>Sub-alternative 2b</w:t>
      </w:r>
      <w:r w:rsidRPr="00B4502A">
        <w:t xml:space="preserve">: </w:t>
      </w:r>
      <w:r>
        <w:t>T</w:t>
      </w:r>
      <w:r w:rsidRPr="00B4502A">
        <w:t>he breaking line strength must not exceed 1,200 lbs</w:t>
      </w:r>
      <w:r w:rsidR="000242E5" w:rsidRPr="00B4502A">
        <w:fldChar w:fldCharType="begin"/>
      </w:r>
      <w:r w:rsidRPr="00B4502A">
        <w:instrText xml:space="preserve"> XE "South Atlantic EEZ" </w:instrText>
      </w:r>
      <w:r w:rsidR="000242E5" w:rsidRPr="00B4502A">
        <w:fldChar w:fldCharType="end"/>
      </w:r>
      <w:r w:rsidRPr="00B4502A">
        <w:t xml:space="preserve">. </w:t>
      </w:r>
    </w:p>
    <w:p w:rsidR="004B4FC5" w:rsidRPr="00B4502A" w:rsidRDefault="004B4FC5" w:rsidP="004B4FC5"/>
    <w:p w:rsidR="004B4FC5" w:rsidRPr="00B4502A" w:rsidRDefault="004B4FC5" w:rsidP="004B4FC5">
      <w:r w:rsidRPr="00B4502A">
        <w:t>Note: Fishermen could decide whether they would want to use the same buoy line from May 1 through October 31.</w:t>
      </w:r>
    </w:p>
    <w:p w:rsidR="004B4FC5" w:rsidRPr="00B4502A" w:rsidRDefault="004B4FC5" w:rsidP="004B4FC5"/>
    <w:p w:rsidR="004B4FC5" w:rsidRPr="00B4502A" w:rsidRDefault="004B4FC5" w:rsidP="004B4FC5">
      <w:proofErr w:type="gramStart"/>
      <w:r w:rsidRPr="00B4502A">
        <w:rPr>
          <w:b/>
        </w:rPr>
        <w:t>Alternative 3.</w:t>
      </w:r>
      <w:proofErr w:type="gramEnd"/>
      <w:r w:rsidRPr="00B4502A">
        <w:t xml:space="preserve"> </w:t>
      </w:r>
      <w:r>
        <w:t xml:space="preserve">In addition to the requirements in </w:t>
      </w:r>
      <w:r w:rsidRPr="009218F3">
        <w:t>50 CFR § 622.189</w:t>
      </w:r>
      <w:r>
        <w:rPr>
          <w:b/>
        </w:rPr>
        <w:t xml:space="preserve">, </w:t>
      </w:r>
      <w:r>
        <w:t>enhance</w:t>
      </w:r>
      <w:r w:rsidRPr="00B4502A">
        <w:t xml:space="preserve"> the current ALWTRP weak link requirements.  From November 1 to April 30, the breaking strength of the weak links must not exceed</w:t>
      </w:r>
      <w:r w:rsidRPr="00B4502A" w:rsidDel="00875C91">
        <w:t xml:space="preserve"> </w:t>
      </w:r>
      <w:r w:rsidRPr="00B4502A">
        <w:t xml:space="preserve">400 </w:t>
      </w:r>
      <w:r>
        <w:t>pounds</w:t>
      </w:r>
      <w:r w:rsidRPr="00B4502A">
        <w:t xml:space="preserve"> for black sea bass pots in the South Atlantic EEZ</w:t>
      </w:r>
      <w:r w:rsidR="000242E5" w:rsidRPr="00B4502A">
        <w:fldChar w:fldCharType="begin"/>
      </w:r>
      <w:r w:rsidRPr="00B4502A">
        <w:instrText xml:space="preserve"> XE "South Atlantic EEZ" </w:instrText>
      </w:r>
      <w:r w:rsidR="000242E5" w:rsidRPr="00B4502A">
        <w:fldChar w:fldCharType="end"/>
      </w:r>
      <w:r w:rsidRPr="00B4502A">
        <w:t>.</w:t>
      </w:r>
      <w:r w:rsidRPr="00B4502A">
        <w:tab/>
      </w:r>
    </w:p>
    <w:p w:rsidR="004B4FC5" w:rsidRPr="00B4502A" w:rsidRDefault="004B4FC5" w:rsidP="004B4FC5">
      <w:r w:rsidRPr="00B4502A">
        <w:t>Note: Fishermen could decide whether they would want to use the same weak link strength from May 1 through October 31.</w:t>
      </w:r>
    </w:p>
    <w:p w:rsidR="004B4FC5" w:rsidRPr="00E73E02" w:rsidRDefault="004B4FC5" w:rsidP="004B4FC5"/>
    <w:p w:rsidR="004B4FC5" w:rsidRPr="00D920D1" w:rsidRDefault="004B4FC5" w:rsidP="004B4FC5">
      <w:proofErr w:type="gramStart"/>
      <w:r w:rsidRPr="00D920D1">
        <w:rPr>
          <w:b/>
        </w:rPr>
        <w:t>Preferred Alternative 4.</w:t>
      </w:r>
      <w:proofErr w:type="gramEnd"/>
      <w:r w:rsidRPr="00D920D1">
        <w:t xml:space="preserve">  </w:t>
      </w:r>
      <w:r>
        <w:t xml:space="preserve">In addition to the requirements in </w:t>
      </w:r>
      <w:r w:rsidRPr="009218F3">
        <w:t>50 CFR § 622.189</w:t>
      </w:r>
      <w:r>
        <w:rPr>
          <w:b/>
        </w:rPr>
        <w:t xml:space="preserve">, </w:t>
      </w:r>
      <w:r>
        <w:t>enhance</w:t>
      </w:r>
      <w:r w:rsidRPr="00D920D1">
        <w:t xml:space="preserve"> the current ALWTRP gear marking requirements. In addition to the </w:t>
      </w:r>
      <w:r>
        <w:t>ALWTRP’s</w:t>
      </w:r>
      <w:r w:rsidRPr="00D920D1">
        <w:t xml:space="preserve"> rope marking requirements, </w:t>
      </w:r>
      <w:r w:rsidRPr="00D920D1">
        <w:rPr>
          <w:bCs/>
        </w:rPr>
        <w:t xml:space="preserve">include a feature </w:t>
      </w:r>
      <w:r>
        <w:rPr>
          <w:bCs/>
        </w:rPr>
        <w:t xml:space="preserve">to </w:t>
      </w:r>
      <w:r w:rsidRPr="00D920D1">
        <w:rPr>
          <w:bCs/>
        </w:rPr>
        <w:t xml:space="preserve">specifically distinguishing the commercial South Atlantic black sea bass pot component of the snapper grouper fishery.  </w:t>
      </w:r>
      <w:r>
        <w:rPr>
          <w:bCs/>
        </w:rPr>
        <w:t>C</w:t>
      </w:r>
      <w:r w:rsidRPr="00D920D1">
        <w:rPr>
          <w:bCs/>
        </w:rPr>
        <w:t xml:space="preserve">urrently </w:t>
      </w:r>
      <w:r>
        <w:rPr>
          <w:bCs/>
        </w:rPr>
        <w:t xml:space="preserve">the ALWTRP </w:t>
      </w:r>
      <w:r w:rsidRPr="00D920D1">
        <w:rPr>
          <w:bCs/>
        </w:rPr>
        <w:t>require</w:t>
      </w:r>
      <w:r>
        <w:rPr>
          <w:bCs/>
        </w:rPr>
        <w:t>s</w:t>
      </w:r>
      <w:r w:rsidRPr="00D920D1">
        <w:rPr>
          <w:bCs/>
        </w:rPr>
        <w:t xml:space="preserve"> three 12-inch color marks at the top, midway, and bottom sections of the buoy line specified for the individual management area in which the gear </w:t>
      </w:r>
      <w:r>
        <w:rPr>
          <w:bCs/>
        </w:rPr>
        <w:t>are</w:t>
      </w:r>
      <w:r w:rsidRPr="00D920D1">
        <w:rPr>
          <w:bCs/>
        </w:rPr>
        <w:t xml:space="preserve"> deployed</w:t>
      </w:r>
      <w:r w:rsidR="000242E5">
        <w:fldChar w:fldCharType="begin"/>
      </w:r>
      <w:r>
        <w:instrText xml:space="preserve"> XE "</w:instrText>
      </w:r>
      <w:r w:rsidRPr="008D14BD">
        <w:instrText>Atlantic Large Whale Take Reduction Plan</w:instrText>
      </w:r>
      <w:r>
        <w:instrText xml:space="preserve">" </w:instrText>
      </w:r>
      <w:r w:rsidR="000242E5">
        <w:fldChar w:fldCharType="end"/>
      </w:r>
      <w:r>
        <w:t>.</w:t>
      </w:r>
      <w:r w:rsidRPr="00D920D1">
        <w:rPr>
          <w:bCs/>
        </w:rPr>
        <w:t xml:space="preserve"> </w:t>
      </w:r>
      <w:r>
        <w:rPr>
          <w:bCs/>
        </w:rPr>
        <w:t xml:space="preserve">This alternative will require </w:t>
      </w:r>
      <w:r w:rsidRPr="00D920D1">
        <w:rPr>
          <w:bCs/>
        </w:rPr>
        <w:t xml:space="preserve">an additional 12-inch wide </w:t>
      </w:r>
      <w:r>
        <w:rPr>
          <w:bCs/>
        </w:rPr>
        <w:t>purple</w:t>
      </w:r>
      <w:r w:rsidRPr="00D920D1">
        <w:rPr>
          <w:bCs/>
        </w:rPr>
        <w:t xml:space="preserve"> band be added at the end of each required 12-inch colored mark.  Each of the three marks would be a total of 24 inches in length.</w:t>
      </w:r>
      <w:r w:rsidRPr="00D920D1">
        <w:t xml:space="preserve"> The additional gear marking requirements of this action are required in federal waters from November 15 through April 15 (Southeast Restricted Area North), September 1 through May 31 (Offshore Trap/Pot Area), and September 1 through May 31 (Southern </w:t>
      </w:r>
      <w:proofErr w:type="spellStart"/>
      <w:r w:rsidRPr="00D920D1">
        <w:t>Nearshore</w:t>
      </w:r>
      <w:proofErr w:type="spellEnd"/>
      <w:r w:rsidRPr="00D920D1">
        <w:t xml:space="preserve"> Trap/Pot Waters Area).</w:t>
      </w:r>
    </w:p>
    <w:p w:rsidR="004B4FC5" w:rsidRDefault="004B4FC5" w:rsidP="004B4FC5"/>
    <w:p w:rsidR="00BE0C78" w:rsidRDefault="00BE0C78" w:rsidP="004B4FC5"/>
    <w:p w:rsidR="00BE0C78" w:rsidRDefault="00BE0C78" w:rsidP="004B4FC5"/>
    <w:p w:rsidR="00BE0C78" w:rsidRPr="00E73E02" w:rsidRDefault="00BE0C78" w:rsidP="004B4FC5"/>
    <w:p w:rsidR="004B4FC5" w:rsidRPr="00B0087E" w:rsidRDefault="004B4FC5" w:rsidP="004B4FC5">
      <w:pPr>
        <w:rPr>
          <w:u w:val="single"/>
        </w:rPr>
      </w:pPr>
      <w:r w:rsidRPr="00D5079F">
        <w:rPr>
          <w:b/>
          <w:u w:val="single"/>
        </w:rPr>
        <w:lastRenderedPageBreak/>
        <w:t>Action 2</w:t>
      </w:r>
      <w:r w:rsidRPr="00D5079F">
        <w:rPr>
          <w:u w:val="single"/>
        </w:rPr>
        <w:t xml:space="preserve"> Discussion</w:t>
      </w:r>
    </w:p>
    <w:p w:rsidR="004B4FC5" w:rsidRPr="00652F56"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cs="Times New Roman"/>
          <w:szCs w:val="24"/>
        </w:rPr>
      </w:pPr>
      <w:proofErr w:type="gramStart"/>
      <w:r w:rsidRPr="00652F56">
        <w:rPr>
          <w:rFonts w:cs="Times New Roman"/>
          <w:b/>
          <w:szCs w:val="24"/>
        </w:rPr>
        <w:t>50 CFR</w:t>
      </w:r>
      <w:r w:rsidRPr="00FE08D7">
        <w:rPr>
          <w:rFonts w:cs="Times New Roman"/>
          <w:szCs w:val="24"/>
        </w:rPr>
        <w:t xml:space="preserve"> </w:t>
      </w:r>
      <w:r w:rsidRPr="00D073BA">
        <w:rPr>
          <w:rStyle w:val="Heading2Char"/>
          <w:rFonts w:ascii="Times New Roman" w:eastAsiaTheme="minorHAnsi" w:hAnsi="Times New Roman" w:cs="Times New Roman"/>
          <w:sz w:val="24"/>
          <w:szCs w:val="24"/>
        </w:rPr>
        <w:t>§ 622.189 Restrictions and requirements for sea bass pots</w:t>
      </w:r>
      <w:r w:rsidRPr="00652F56">
        <w:rPr>
          <w:rFonts w:cs="Times New Roman"/>
          <w:szCs w:val="24"/>
        </w:rPr>
        <w:t>.</w:t>
      </w:r>
      <w:proofErr w:type="gramEnd"/>
      <w:r w:rsidRPr="00652F56">
        <w:rPr>
          <w:rFonts w:cs="Times New Roman"/>
          <w:szCs w:val="24"/>
        </w:rPr>
        <w:t xml:space="preserve"> </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 xml:space="preserve">(a) </w:t>
      </w:r>
      <w:r w:rsidRPr="00B0087E">
        <w:rPr>
          <w:i/>
        </w:rPr>
        <w:t>Tending restriction</w:t>
      </w:r>
      <w:r w:rsidRPr="00B0087E">
        <w:t>. A sea bass pot in the South Atlantic EEZ may be pulled or tended only by a person (other than an authorized officer) aboard the vessel permitted to fish such pot or aboard another vessel if such vessel has on board written consent of the owner or operator of the vessel so permitted.</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 xml:space="preserve">(b) </w:t>
      </w:r>
      <w:r w:rsidRPr="00B0087E">
        <w:rPr>
          <w:i/>
        </w:rPr>
        <w:t>Configuration restriction</w:t>
      </w:r>
      <w:r w:rsidRPr="00B0087E">
        <w:t>. In the South Atlantic EEZ, sea bass pots may not be used or possessed in multiple configurations, that is, two or more pots may not be attached one to another so that their overall dimensions exceed those allowed for an individual sea bass pot. This does not preclude connecting individual pots to a line, such as a "trawl" or trot line.</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 xml:space="preserve">(c) </w:t>
      </w:r>
      <w:r w:rsidRPr="00B0087E">
        <w:rPr>
          <w:i/>
        </w:rPr>
        <w:t>Requirement for escape mechanisms</w:t>
      </w:r>
      <w:r w:rsidRPr="00B0087E">
        <w:t>. (1) A sea bass pot that is used or possessed in the South Atlantic EEZ between 35°15.19' N. lat. (due east of Cape Hatteras Light, NC) and 28°35.1' N. lat. (due east of the NASA Vehicle Assembly Building, Cape Canaveral, FL) is required to have--</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w:t>
      </w:r>
      <w:proofErr w:type="spellStart"/>
      <w:r w:rsidRPr="00B0087E">
        <w:t>i</w:t>
      </w:r>
      <w:proofErr w:type="spellEnd"/>
      <w:r w:rsidRPr="00B0087E">
        <w:t xml:space="preserve">) On at least one side, excluding top and bottom, a panel or door with an opening equal to or larger than the interior end of the </w:t>
      </w:r>
      <w:proofErr w:type="gramStart"/>
      <w:r w:rsidRPr="00B0087E">
        <w:t>trap's</w:t>
      </w:r>
      <w:proofErr w:type="gramEnd"/>
      <w:r w:rsidRPr="00B0087E">
        <w:t xml:space="preserve"> throat (funnel). The hinges and fasteners of each panel or door must be made of one of the following degradable materials:</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 xml:space="preserve">(A) </w:t>
      </w:r>
      <w:proofErr w:type="spellStart"/>
      <w:r w:rsidRPr="00B0087E">
        <w:t>Ungalvanized</w:t>
      </w:r>
      <w:proofErr w:type="spellEnd"/>
      <w:r w:rsidRPr="00B0087E">
        <w:t xml:space="preserve"> or uncoated iron wire with a diameter not exceeding 0.041 inches (1.0 mm), that is, 19 gauge wire.</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(B) Galvanic timed-release mechanisms with a letter grade designation (degradability index) no higher than J.</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(ii) An unobstructed escape vent opening on at least two opposite vertical sides, excluding top and bottom. The minimum dimensions of an escape vent opening (based on inside measurement) are:</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(A) 1 1/8 by 5 3/4 inches (2.9 by 14.6 cm) for a rectangular vent.</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(B) 1.75 by 1.75 inches (4.5 by 4.5 cm) for a square vent.</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 xml:space="preserve">(C) 2.0-inch (5.1-cm) diameter for a round vent. </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 xml:space="preserve">(2) [Reserved] </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 xml:space="preserve">(d) </w:t>
      </w:r>
      <w:r w:rsidRPr="00B0087E">
        <w:rPr>
          <w:i/>
        </w:rPr>
        <w:t>Construction requirements and mesh sizes</w:t>
      </w:r>
      <w:r w:rsidRPr="00B0087E">
        <w:t>. (1) A sea bass pot used or possessed in the South Atlantic EEZ must have mesh sizes as follows (based on centerline measurements between opposite, parallel wires or netting strands):</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w:t>
      </w:r>
      <w:proofErr w:type="spellStart"/>
      <w:r w:rsidRPr="00B0087E">
        <w:t>i</w:t>
      </w:r>
      <w:proofErr w:type="spellEnd"/>
      <w:r w:rsidRPr="00B0087E">
        <w:t>) For sides of the pot other than the back panel:</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(A) Hexagonal mesh (chicken wire)--at least 1.5 inches (3.8 cm) between the wrapped sides;</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(B) Square mesh--at least 1.5 inches (3.8 cm) between sides; or</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(C) Rectangular mesh--at least 1 inch (2.5 cm) between the longer sides and 2 inches (5.1 cm) between the shorter sides.</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 xml:space="preserve">(ii) For the entire back panel, </w:t>
      </w:r>
      <w:r w:rsidRPr="00B0087E">
        <w:rPr>
          <w:i/>
        </w:rPr>
        <w:t>i.e.</w:t>
      </w:r>
      <w:r w:rsidRPr="00B0087E">
        <w:t xml:space="preserve">, the side of the pot opposite the side that contains the pot entrance, mesh that is at least 2 inches (5.1 cm) between sides. </w:t>
      </w:r>
    </w:p>
    <w:p w:rsidR="004B4FC5" w:rsidRPr="00B0087E" w:rsidRDefault="004B4FC5" w:rsidP="004B4F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0087E">
        <w:tab/>
        <w:t xml:space="preserve">(2) [Reserved] </w:t>
      </w:r>
    </w:p>
    <w:p w:rsidR="004B4FC5" w:rsidRPr="00B0087E" w:rsidRDefault="004B4FC5" w:rsidP="004B4FC5">
      <w:pPr>
        <w:ind w:firstLine="720"/>
      </w:pPr>
      <w:r w:rsidRPr="00B0087E">
        <w:t xml:space="preserve">(e) </w:t>
      </w:r>
      <w:r w:rsidRPr="00B0087E">
        <w:rPr>
          <w:i/>
        </w:rPr>
        <w:t>Requirements for pot removal</w:t>
      </w:r>
      <w:r w:rsidRPr="00B0087E">
        <w:t xml:space="preserve">. (1) A sea bass pot must be removed from the water in the South Atlantic EEZ and the vessel must be returned to a dock, berth, beach, seawall, or ramp at the conclusion of each trip. Sea bass pots may remain on the vessel at the conclusion of each trip. </w:t>
      </w:r>
    </w:p>
    <w:p w:rsidR="004B4FC5" w:rsidRPr="00B0087E" w:rsidRDefault="004B4FC5" w:rsidP="004B4FC5">
      <w:pPr>
        <w:ind w:firstLine="720"/>
      </w:pPr>
      <w:r w:rsidRPr="00B0087E">
        <w:lastRenderedPageBreak/>
        <w:t>(2) A sea bass pot must be removed from the water in the South Atlantic EEZ when the applicable quota specified in § 622.190(a</w:t>
      </w:r>
      <w:proofErr w:type="gramStart"/>
      <w:r w:rsidRPr="00B0087E">
        <w:t>)(</w:t>
      </w:r>
      <w:proofErr w:type="gramEnd"/>
      <w:r w:rsidRPr="00B0087E">
        <w:t>5) is reached. After a closure is in effect, a black sea bass may not be retained by a vessel that has a sea bass pot on board.</w:t>
      </w:r>
    </w:p>
    <w:p w:rsidR="004B4FC5" w:rsidRDefault="004B4FC5" w:rsidP="004B4FC5">
      <w:pPr>
        <w:contextualSpacing/>
      </w:pPr>
      <w:r w:rsidRPr="00B0087E">
        <w:tab/>
        <w:t xml:space="preserve">(f) </w:t>
      </w:r>
      <w:r w:rsidRPr="00B0087E">
        <w:rPr>
          <w:i/>
        </w:rPr>
        <w:t>Restriction on number of pots</w:t>
      </w:r>
      <w:r w:rsidRPr="00B0087E">
        <w:t xml:space="preserve">. A vessel that has on board a valid Federal commercial permit for South Atlantic snapper-grouper and a South Atlantic black sea bass pot endorsement that fishes in the South Atlantic EEZ on a trip with black sea bass </w:t>
      </w:r>
      <w:proofErr w:type="gramStart"/>
      <w:r w:rsidRPr="00B0087E">
        <w:t>pots,</w:t>
      </w:r>
      <w:proofErr w:type="gramEnd"/>
      <w:r w:rsidRPr="00B0087E">
        <w:t xml:space="preserve"> may possess only 35 black sea bass pots per vessel per permit year. Each black sea bass pot in the water or onboard a vessel in the South Atlantic </w:t>
      </w:r>
      <w:proofErr w:type="gramStart"/>
      <w:r w:rsidRPr="00B0087E">
        <w:t>EEZ,</w:t>
      </w:r>
      <w:proofErr w:type="gramEnd"/>
      <w:r w:rsidRPr="00B0087E">
        <w:t xml:space="preserve"> must have a valid identification tag attached. Endorsement holders must apply for new tags each permit year through NMFS to replace tags from the previous year.</w:t>
      </w:r>
    </w:p>
    <w:p w:rsidR="00B05382" w:rsidRPr="00B05382" w:rsidRDefault="00B05382" w:rsidP="00B05382"/>
    <w:p w:rsidR="004B40ED" w:rsidRPr="00B05382" w:rsidRDefault="004B40ED" w:rsidP="00B05382">
      <w:pPr>
        <w:outlineLvl w:val="0"/>
      </w:pPr>
      <w:r>
        <w:rPr>
          <w:b/>
          <w:sz w:val="28"/>
          <w:szCs w:val="28"/>
        </w:rPr>
        <w:t>Biological Effects:</w:t>
      </w:r>
    </w:p>
    <w:p w:rsidR="004B40ED" w:rsidRPr="00280CD2" w:rsidRDefault="004B40ED" w:rsidP="004B40ED">
      <w:pPr>
        <w:rPr>
          <w:u w:val="single"/>
        </w:rPr>
      </w:pPr>
      <w:r w:rsidRPr="00280CD2">
        <w:rPr>
          <w:u w:val="single"/>
        </w:rPr>
        <w:t>Black Sea Bass</w:t>
      </w:r>
    </w:p>
    <w:p w:rsidR="003A05C8" w:rsidRDefault="003A05C8" w:rsidP="003A05C8">
      <w:r>
        <w:t>The alternatives range from maintaining the current pot gear requirements to specifying buoy line strength and decreasing weak link breaking weight to adding an extra marking on the buoy line.  Regardless of which alternative the South Atlantic Council chooses, no biological impacts to the black sea bass stock are expected. Adverse effects are prevented because overall harvest in the commercial sector is limited to the commercial ACL; commercial accountability measures are also in place. The ACL is reduced from the overfishing level as required to address assessment uncertainty.  In addition, there is no evidence to suggest that changing the gear requirements for the black sea bass pot fishery would have adverse biological impacts. These alternatives are not predicted to reduce harvest and would not provide additional protection to the black sea bass stock.  Therefore, there is no difference in the biological effects on black sea bass from the alternatives.</w:t>
      </w:r>
    </w:p>
    <w:p w:rsidR="00652335" w:rsidRDefault="00652335" w:rsidP="00652335"/>
    <w:p w:rsidR="00652335" w:rsidRPr="00AA6B19" w:rsidRDefault="00652335" w:rsidP="00652335">
      <w:pPr>
        <w:rPr>
          <w:u w:val="single"/>
        </w:rPr>
      </w:pPr>
      <w:r w:rsidRPr="00AA6B19">
        <w:rPr>
          <w:u w:val="single"/>
        </w:rPr>
        <w:t>Protected Resources</w:t>
      </w:r>
    </w:p>
    <w:p w:rsidR="003A05C8" w:rsidRDefault="003A05C8" w:rsidP="003A05C8">
      <w:r>
        <w:rPr>
          <w:b/>
        </w:rPr>
        <w:t>Alternative 2</w:t>
      </w:r>
      <w:r>
        <w:t xml:space="preserve"> is likely to maintain or slightly reduce the overall breaking strength of line used in the commercial black sea bass pot fishery throughout the S</w:t>
      </w:r>
      <w:r w:rsidR="00652F56">
        <w:t>outh Atlantic Council</w:t>
      </w:r>
      <w:r>
        <w:t>’s jurisdiction.  Reduced line breaking strength can be less life threatening to large whales than lines with higher breaking strength if line breaking strength is below the threshold at which whales can safely break free from the lines.  Knowlton et al</w:t>
      </w:r>
      <w:r w:rsidR="007908AD">
        <w:t>.</w:t>
      </w:r>
      <w:r>
        <w:t xml:space="preserve"> (in press) suggest that if buoy line breaking strength was 1,700 pounds or less, the number of life-threatening entanglements to large whales would be reduced substantially.  </w:t>
      </w:r>
      <w:r w:rsidR="00B05382">
        <w:rPr>
          <w:b/>
        </w:rPr>
        <w:t>Sub-</w:t>
      </w:r>
      <w:r w:rsidRPr="000B244A">
        <w:rPr>
          <w:b/>
        </w:rPr>
        <w:t>Alternative 2a</w:t>
      </w:r>
      <w:r>
        <w:t xml:space="preserve"> (maximum line strength of 2,200 lb) would likely maintain the breaking strength of lines currently being used and would have limited, if any, benefits for listed whale species.  </w:t>
      </w:r>
      <w:r w:rsidR="00B05382">
        <w:rPr>
          <w:b/>
        </w:rPr>
        <w:t>Sub-</w:t>
      </w:r>
      <w:r w:rsidRPr="000B244A">
        <w:rPr>
          <w:b/>
        </w:rPr>
        <w:t>Alternative 2b</w:t>
      </w:r>
      <w:r>
        <w:t xml:space="preserve"> (maximum line strength of 1,200 lb) would likely result in substantially fewer life-threatening entanglements for humpback whales and juvenile and adult right whales.  The breaking strength in both </w:t>
      </w:r>
      <w:r w:rsidR="00B05382">
        <w:rPr>
          <w:b/>
        </w:rPr>
        <w:t>Sub-</w:t>
      </w:r>
      <w:r w:rsidRPr="000B244A">
        <w:rPr>
          <w:b/>
        </w:rPr>
        <w:t>Alternative 2a</w:t>
      </w:r>
      <w:r>
        <w:t xml:space="preserve"> and </w:t>
      </w:r>
      <w:r w:rsidR="000A1637">
        <w:rPr>
          <w:b/>
        </w:rPr>
        <w:t>Sub-</w:t>
      </w:r>
      <w:r w:rsidRPr="000B244A">
        <w:rPr>
          <w:b/>
        </w:rPr>
        <w:t>Alternative 2b</w:t>
      </w:r>
      <w:r>
        <w:t xml:space="preserve"> is greater than what </w:t>
      </w:r>
      <w:proofErr w:type="spellStart"/>
      <w:r>
        <w:t>minke</w:t>
      </w:r>
      <w:proofErr w:type="spellEnd"/>
      <w:r>
        <w:t xml:space="preserve"> whales are able to escape from.  Given that very young right whale calves are smaller and weaker than </w:t>
      </w:r>
      <w:proofErr w:type="spellStart"/>
      <w:r>
        <w:t>minke</w:t>
      </w:r>
      <w:proofErr w:type="spellEnd"/>
      <w:r>
        <w:t xml:space="preserve"> whales, the breaking strength of both sub-alternatives is also likely greater than what young calves could shed.  Consequently, </w:t>
      </w:r>
      <w:r w:rsidR="00B05382">
        <w:rPr>
          <w:b/>
        </w:rPr>
        <w:t>Sub-</w:t>
      </w:r>
      <w:r w:rsidRPr="000B244A">
        <w:rPr>
          <w:b/>
        </w:rPr>
        <w:t>Alternative 2</w:t>
      </w:r>
      <w:r>
        <w:rPr>
          <w:b/>
        </w:rPr>
        <w:t>b</w:t>
      </w:r>
      <w:r>
        <w:t xml:space="preserve"> would not provide less risk from entanglement to very young right whale calves. </w:t>
      </w:r>
    </w:p>
    <w:p w:rsidR="003A05C8" w:rsidRDefault="003A05C8" w:rsidP="003A05C8">
      <w:pPr>
        <w:outlineLvl w:val="0"/>
      </w:pPr>
    </w:p>
    <w:p w:rsidR="003A05C8" w:rsidRDefault="003A05C8" w:rsidP="003A05C8">
      <w:pPr>
        <w:outlineLvl w:val="0"/>
      </w:pPr>
      <w:proofErr w:type="gramStart"/>
      <w:r>
        <w:t xml:space="preserve">The biological impacts from </w:t>
      </w:r>
      <w:r w:rsidRPr="004F3747">
        <w:rPr>
          <w:b/>
        </w:rPr>
        <w:t>Alternative 3</w:t>
      </w:r>
      <w:r>
        <w:t xml:space="preserve"> on ESA-listed whales in unclear, but are likely beneficial.</w:t>
      </w:r>
      <w:proofErr w:type="gramEnd"/>
      <w:r>
        <w:t xml:space="preserve">  Weak links break apart when enough opposing pressure is applied to the either side of the link.  On trap/pot gear, weak links are installed where the surface buoy attaches to the </w:t>
      </w:r>
      <w:r>
        <w:lastRenderedPageBreak/>
        <w:t xml:space="preserve">buoy (vertical) line.  When the weak link breaks, it releases the buoy from the vertical buoy line and attached pot.  A benefit of releasing the buoy is that the remaining entangling line will then be free to slide through baleen or over/around flippers and be shed by a free swimming whale.  Weak link provisions are likely to reduce entanglement risk relative to lines without weak links because the buoys can break away allowing the remaining gear to be potentially shed by the whale.  A breaking strength of 400 lbs may be low enough to be broken by very young right whale calves.  However, since adequate opposing pressure must be applied to the weak link to break the link, it is unclear how effective this measure will be on a case by case basis.  </w:t>
      </w:r>
    </w:p>
    <w:p w:rsidR="003A05C8" w:rsidRDefault="003A05C8" w:rsidP="003A05C8"/>
    <w:p w:rsidR="003A05C8" w:rsidRDefault="007908AD" w:rsidP="003A05C8">
      <w:r w:rsidRPr="00457F6F">
        <w:rPr>
          <w:b/>
        </w:rPr>
        <w:t>Preferred</w:t>
      </w:r>
      <w:r>
        <w:t xml:space="preserve"> </w:t>
      </w:r>
      <w:r w:rsidR="003A05C8" w:rsidRPr="00AA6B19">
        <w:rPr>
          <w:b/>
        </w:rPr>
        <w:t xml:space="preserve">Alternative </w:t>
      </w:r>
      <w:r w:rsidR="003A05C8">
        <w:rPr>
          <w:b/>
        </w:rPr>
        <w:t>4</w:t>
      </w:r>
      <w:r w:rsidR="003A05C8">
        <w:t xml:space="preserve"> provides a mechanism to identify the black sea bass pot fishery if a line entangles a whale.  </w:t>
      </w:r>
      <w:r w:rsidR="003A05C8" w:rsidRPr="009F256E">
        <w:t>The</w:t>
      </w:r>
      <w:r w:rsidR="003A05C8">
        <w:t>re are no direct</w:t>
      </w:r>
      <w:r w:rsidR="003A05C8" w:rsidRPr="009F256E">
        <w:t xml:space="preserve"> biological benefits from </w:t>
      </w:r>
      <w:r w:rsidRPr="00457F6F">
        <w:rPr>
          <w:b/>
        </w:rPr>
        <w:t>Preferred</w:t>
      </w:r>
      <w:r>
        <w:t xml:space="preserve"> </w:t>
      </w:r>
      <w:r w:rsidR="003A05C8" w:rsidRPr="009F256E">
        <w:rPr>
          <w:b/>
        </w:rPr>
        <w:t xml:space="preserve">Alternative </w:t>
      </w:r>
      <w:r w:rsidR="003A05C8">
        <w:rPr>
          <w:b/>
        </w:rPr>
        <w:t>4</w:t>
      </w:r>
      <w:r w:rsidR="003A05C8">
        <w:t>, however, any information gained from entangled whales on fishery type, entanglement location, and entanglement date is important to assess the impacts of a fishery and better understand and possibly work towards reducing future entanglements.</w:t>
      </w:r>
      <w:r w:rsidR="003A05C8" w:rsidRPr="009F256E">
        <w:t xml:space="preserve">  </w:t>
      </w:r>
      <w:r w:rsidR="003A05C8">
        <w:t xml:space="preserve">However, not all gear remains on the individual after an interaction occurs.  Furthermore, many entangled right whales are never seen nor is gear recovered.  </w:t>
      </w:r>
      <w:r w:rsidR="003A05C8" w:rsidRPr="009F256E">
        <w:t>For line markings to be effective, the gear must be recovered, and the recovered gear must retain the marks.  Line markings do improve the chances of identifying recovered gear, particularly as the number</w:t>
      </w:r>
      <w:r w:rsidR="003A05C8">
        <w:t xml:space="preserve"> and size</w:t>
      </w:r>
      <w:r w:rsidR="003A05C8" w:rsidRPr="009F256E">
        <w:t xml:space="preserve"> of marks increases.  </w:t>
      </w:r>
      <w:r w:rsidR="003A05C8">
        <w:t>This alternative provides a mechanism to identify the black sea bass pot fishery if an interaction occurs and if the gear remains entangled on the whale.  This gear marking would be in addition to the gear marking required in the Large Whale Take Reduction Plan (</w:t>
      </w:r>
      <w:r w:rsidR="0025689A" w:rsidRPr="0025689A">
        <w:t>http://www.greateratlantic.fisheries.noaa.gov/protected/whaletrp/docs/2015-12869.pdf</w:t>
      </w:r>
      <w:r w:rsidR="003A05C8">
        <w:t xml:space="preserve">).  </w:t>
      </w:r>
    </w:p>
    <w:p w:rsidR="003A05C8" w:rsidRDefault="003A05C8" w:rsidP="003A05C8"/>
    <w:p w:rsidR="003A05C8" w:rsidRDefault="003A05C8" w:rsidP="003A05C8">
      <w:r>
        <w:t>None of these alternatives would reduce the potential of interaction between a black sea bass pot and ESA-listed whales.  The alternatives could reduce the potential of serious injury or mortality (</w:t>
      </w:r>
      <w:r w:rsidRPr="00AA6B19">
        <w:rPr>
          <w:b/>
        </w:rPr>
        <w:t>Alternative</w:t>
      </w:r>
      <w:r>
        <w:rPr>
          <w:b/>
        </w:rPr>
        <w:t>s</w:t>
      </w:r>
      <w:r w:rsidRPr="00AA6B19">
        <w:rPr>
          <w:b/>
        </w:rPr>
        <w:t xml:space="preserve"> 2</w:t>
      </w:r>
      <w:r>
        <w:rPr>
          <w:b/>
        </w:rPr>
        <w:t xml:space="preserve"> </w:t>
      </w:r>
      <w:r w:rsidRPr="00A13851">
        <w:t xml:space="preserve">and </w:t>
      </w:r>
      <w:r>
        <w:rPr>
          <w:b/>
        </w:rPr>
        <w:t>3</w:t>
      </w:r>
      <w:r>
        <w:t>) and potentially identify or eliminate the black sea bass pot fishery as a gear with an entanglement (</w:t>
      </w:r>
      <w:r w:rsidR="003678C3" w:rsidRPr="00457F6F">
        <w:rPr>
          <w:b/>
        </w:rPr>
        <w:t>Preferred</w:t>
      </w:r>
      <w:r w:rsidR="003678C3">
        <w:t xml:space="preserve"> </w:t>
      </w:r>
      <w:r w:rsidRPr="00AA6B19">
        <w:rPr>
          <w:b/>
        </w:rPr>
        <w:t xml:space="preserve">Alternative </w:t>
      </w:r>
      <w:r>
        <w:rPr>
          <w:b/>
        </w:rPr>
        <w:t>4</w:t>
      </w:r>
      <w:r w:rsidR="00E2282D">
        <w:t>).</w:t>
      </w:r>
    </w:p>
    <w:p w:rsidR="00E2282D" w:rsidRDefault="00E2282D" w:rsidP="003A05C8"/>
    <w:p w:rsidR="004B40ED" w:rsidRDefault="004B40ED" w:rsidP="004B40ED">
      <w:pPr>
        <w:spacing w:line="276" w:lineRule="auto"/>
        <w:outlineLvl w:val="0"/>
        <w:rPr>
          <w:sz w:val="28"/>
          <w:szCs w:val="28"/>
        </w:rPr>
      </w:pPr>
      <w:r>
        <w:rPr>
          <w:b/>
          <w:sz w:val="28"/>
          <w:szCs w:val="28"/>
        </w:rPr>
        <w:t>Economic Effects:</w:t>
      </w:r>
    </w:p>
    <w:p w:rsidR="000A1637" w:rsidRDefault="000A1637" w:rsidP="000A1637">
      <w:pPr>
        <w:ind w:firstLine="360"/>
      </w:pPr>
      <w:r>
        <w:rPr>
          <w:b/>
        </w:rPr>
        <w:t xml:space="preserve">Alternative 2, Sub-Alternative 2a </w:t>
      </w:r>
      <w:r>
        <w:t>would require minimum line breaking strength of 2,200 pounds for North Carolina, which the ALWTRP already requires for South Carolina, Georgia, and Florida (</w:t>
      </w:r>
      <w:r>
        <w:rPr>
          <w:b/>
        </w:rPr>
        <w:t>Alternative 1 – No Action</w:t>
      </w:r>
      <w:r>
        <w:t xml:space="preserve">).  A typical black sea bass pot buoy line is 100 to 130 feet in length (Jack Cox, pers. comm.)  Assuming all 17 North Carolina fishermen with black sea bass pot endorsements have 35 pots and need to replace all the buoy lines, at 125 feet per pot, the cost to buy four bundles of line would be $716 (4 bundles x $179/bundle = $716, with each bundle having 1,000’ of line and with 32 traps x 125 feet = 4,000’ buoy line would be needed). The total expected maximum cost associated with </w:t>
      </w:r>
      <w:r>
        <w:rPr>
          <w:b/>
        </w:rPr>
        <w:t>Alternative 2, Sub-Alternative 2a</w:t>
      </w:r>
      <w:r>
        <w:t xml:space="preserve"> is $12,172 (17 x $716).  It is not known how many black sea bass pot fishermen currently use buoy line with a breaking strength less than 1,200 pounds as proscribed by </w:t>
      </w:r>
      <w:r>
        <w:rPr>
          <w:b/>
        </w:rPr>
        <w:t>Sub-Alternative 2b</w:t>
      </w:r>
      <w:r>
        <w:t xml:space="preserve">.  The worst case scenario is that all 32 endorsement holders would have to buy new buoy line at $149 per 1,000 foot bundle, or $596, assuming fishermen would attach 125 feet of buoy line to each pot (32 traps x 125’ = 4,000’ buoy line).  The total expected maximum cost associated with </w:t>
      </w:r>
      <w:r>
        <w:rPr>
          <w:b/>
        </w:rPr>
        <w:t>Sub-Alternative 2b</w:t>
      </w:r>
      <w:r>
        <w:t xml:space="preserve"> is $19,072.</w:t>
      </w:r>
    </w:p>
    <w:p w:rsidR="000A1637" w:rsidRDefault="000A1637" w:rsidP="000A1637">
      <w:pPr>
        <w:ind w:firstLine="360"/>
      </w:pPr>
    </w:p>
    <w:p w:rsidR="000A1637" w:rsidRDefault="000A1637" w:rsidP="000A1637">
      <w:pPr>
        <w:ind w:firstLine="360"/>
      </w:pPr>
      <w:r>
        <w:rPr>
          <w:b/>
        </w:rPr>
        <w:lastRenderedPageBreak/>
        <w:t>Alternative 3</w:t>
      </w:r>
      <w:r>
        <w:t xml:space="preserve"> would require a step-down from 600 to 400-pound in weak link strength.  All 32 endorsement holders in all four states could be required to buy new weak links as the current required links have a 600-pound breaking strength.  The cost for new weak links for each fisherman is estimated to be $65 (35 traps x $1.85 per weak-link).  The total cost for </w:t>
      </w:r>
      <w:r>
        <w:rPr>
          <w:b/>
        </w:rPr>
        <w:t>Alternative 3</w:t>
      </w:r>
      <w:r>
        <w:t xml:space="preserve"> for all endorsement holders would therefore be expected to be $2,080 (32 x $65) if specifically-made weak links are added to each pot.  Some fishermen choose to set up their gear using hog rings to act as the weak link.  To reduce to a 400-pound weak link, the fishermen would simply need to remove the number of hog rings necessary to reduce the breaking strength down to a 400-pound maximum.  A potential side effect of this step-down in weak-link strength could be an increased probability of the links breaking and resulting in gear loss. </w:t>
      </w:r>
    </w:p>
    <w:p w:rsidR="000A1637" w:rsidRDefault="000A1637" w:rsidP="000A1637">
      <w:pPr>
        <w:ind w:firstLine="360"/>
      </w:pPr>
    </w:p>
    <w:p w:rsidR="000A1637" w:rsidRDefault="000A1637" w:rsidP="000A1637">
      <w:pPr>
        <w:ind w:firstLine="360"/>
      </w:pPr>
      <w:r>
        <w:t xml:space="preserve">While it is unknown what the rate of lost gear might be should the Council choose any alternative/sub-alternative of </w:t>
      </w:r>
      <w:r>
        <w:rPr>
          <w:b/>
        </w:rPr>
        <w:t>Action 2</w:t>
      </w:r>
      <w:r>
        <w:t xml:space="preserve"> as preferred alternatives/sub-alternatives, the cost to replace lost gear can be estimated.  Two active black sea bass pot fishermen estimated their replacement costs for an entire pot assembly (Jack Cox pers. comm., May 7, 2015; Tom Burgess, pers. comm., May 10, 2015).  The following are the estimated costs for replacement:</w:t>
      </w:r>
    </w:p>
    <w:p w:rsidR="000A1637" w:rsidRDefault="000A1637" w:rsidP="000A1637"/>
    <w:p w:rsidR="000A1637" w:rsidRDefault="000A1637" w:rsidP="00FE08D7">
      <w:pPr>
        <w:ind w:left="360"/>
      </w:pPr>
      <w:r>
        <w:t xml:space="preserve">Trap: $38.50 - </w:t>
      </w:r>
      <w:r w:rsidR="002846A1">
        <w:t>$</w:t>
      </w:r>
      <w:r>
        <w:t>50</w:t>
      </w:r>
    </w:p>
    <w:p w:rsidR="000A1637" w:rsidRDefault="000A1637" w:rsidP="00FE08D7">
      <w:pPr>
        <w:ind w:left="360"/>
      </w:pPr>
      <w:r>
        <w:t xml:space="preserve">Buoys: $4 - </w:t>
      </w:r>
      <w:r w:rsidR="002846A1">
        <w:t>$</w:t>
      </w:r>
      <w:r>
        <w:t>20</w:t>
      </w:r>
    </w:p>
    <w:p w:rsidR="000A1637" w:rsidRDefault="000A1637" w:rsidP="00FE08D7">
      <w:pPr>
        <w:ind w:left="360"/>
      </w:pPr>
      <w:r>
        <w:t xml:space="preserve">Iron weights: $5 - </w:t>
      </w:r>
      <w:r w:rsidR="002846A1">
        <w:t>$</w:t>
      </w:r>
      <w:r>
        <w:t>7</w:t>
      </w:r>
    </w:p>
    <w:p w:rsidR="000A1637" w:rsidRDefault="000A1637" w:rsidP="00FE08D7">
      <w:pPr>
        <w:ind w:left="360"/>
      </w:pPr>
      <w:r>
        <w:t xml:space="preserve">Line: $10 - </w:t>
      </w:r>
      <w:r w:rsidR="002846A1">
        <w:t>$</w:t>
      </w:r>
      <w:r>
        <w:t>40</w:t>
      </w:r>
    </w:p>
    <w:p w:rsidR="000A1637" w:rsidRDefault="000A1637" w:rsidP="00FE08D7">
      <w:pPr>
        <w:ind w:left="360"/>
      </w:pPr>
      <w:r>
        <w:t>Weak links: $0 - $1.85 ($0 assumes the fisherman will remove hog rings)</w:t>
      </w:r>
    </w:p>
    <w:p w:rsidR="000A1637" w:rsidRDefault="000A1637" w:rsidP="00FE08D7">
      <w:pPr>
        <w:ind w:left="360"/>
      </w:pPr>
      <w:proofErr w:type="spellStart"/>
      <w:r>
        <w:t>Floy</w:t>
      </w:r>
      <w:proofErr w:type="spellEnd"/>
      <w:r>
        <w:t xml:space="preserve"> tags: $1.50 – </w:t>
      </w:r>
      <w:r w:rsidR="002846A1">
        <w:t>$</w:t>
      </w:r>
      <w:r>
        <w:t>1.85</w:t>
      </w:r>
    </w:p>
    <w:p w:rsidR="000A1637" w:rsidRDefault="000A1637" w:rsidP="00FE08D7">
      <w:pPr>
        <w:ind w:left="360"/>
      </w:pPr>
      <w:r>
        <w:t>Shipping cost for equipment: $10</w:t>
      </w:r>
    </w:p>
    <w:p w:rsidR="000A1637" w:rsidRDefault="000A1637" w:rsidP="00FE08D7">
      <w:pPr>
        <w:ind w:left="360"/>
      </w:pPr>
      <w:r>
        <w:t>One hour of labor to assemble a single pot:  $23.</w:t>
      </w:r>
    </w:p>
    <w:p w:rsidR="000A1637" w:rsidRDefault="000A1637" w:rsidP="000A1637"/>
    <w:p w:rsidR="000A1637" w:rsidRDefault="000A1637" w:rsidP="000A1637">
      <w:pPr>
        <w:ind w:firstLine="360"/>
      </w:pPr>
      <w:r>
        <w:t>Based on these estimates, the range of cost to replace a single lost black sea bass pot runs from approximately $92 to $154.</w:t>
      </w:r>
    </w:p>
    <w:p w:rsidR="000A1637" w:rsidRDefault="000A1637" w:rsidP="000A1637">
      <w:pPr>
        <w:ind w:firstLine="360"/>
      </w:pPr>
    </w:p>
    <w:p w:rsidR="000A1637" w:rsidRDefault="000A1637" w:rsidP="000A1637">
      <w:pPr>
        <w:ind w:firstLine="360"/>
      </w:pPr>
      <w:r>
        <w:rPr>
          <w:b/>
        </w:rPr>
        <w:t xml:space="preserve">Preferred Alternative 4 </w:t>
      </w:r>
      <w:r>
        <w:t xml:space="preserve">would require fishermen to mark three 12 inch bands on each buoy line.  If using paint, it is assumed that one quart of marine buoy paint would be sufficient to paint the bands on 35 traps.  The cost for a quart of marine buoy paint is $47.35.  The total maximum cost associated with </w:t>
      </w:r>
      <w:r>
        <w:rPr>
          <w:b/>
        </w:rPr>
        <w:t>Preferred Alternative 4</w:t>
      </w:r>
      <w:r>
        <w:t xml:space="preserve"> if all endorsement holders marked their lines with paint is $1,515 (32 x $47.35).  Some fishermen have reported that they mark their lines by weaving in surveyor’s tape.  </w:t>
      </w:r>
      <w:proofErr w:type="gramStart"/>
      <w:r>
        <w:t>Checking various sources online (</w:t>
      </w:r>
      <w:hyperlink r:id="rId33" w:history="1">
        <w:r w:rsidRPr="0039061F">
          <w:rPr>
            <w:rStyle w:val="Hyperlink"/>
          </w:rPr>
          <w:t>www.amazon.com</w:t>
        </w:r>
      </w:hyperlink>
      <w:r>
        <w:t xml:space="preserve">, </w:t>
      </w:r>
      <w:hyperlink r:id="rId34" w:history="1">
        <w:r w:rsidRPr="0039061F">
          <w:rPr>
            <w:rStyle w:val="Hyperlink"/>
          </w:rPr>
          <w:t>www.uline.com/BL_6423/Flagging-Tape</w:t>
        </w:r>
      </w:hyperlink>
      <w:r>
        <w:t xml:space="preserve">, and </w:t>
      </w:r>
      <w:hyperlink r:id="rId35" w:history="1">
        <w:r w:rsidRPr="0039061F">
          <w:rPr>
            <w:rStyle w:val="Hyperlink"/>
          </w:rPr>
          <w:t>www.tigersupplies.com</w:t>
        </w:r>
      </w:hyperlink>
      <w:r>
        <w:t>) show that rolls of 300’ of surveyor’s tape costs $3 - $11 per roll.</w:t>
      </w:r>
      <w:proofErr w:type="gramEnd"/>
      <w:r>
        <w:t xml:space="preserve">  This analysis assumes that three 12 inch strips per trap would come out to 105 feet (12 inches per strip x 3 strips per line x 35 pots) to initially equip each pot line.  Therefore, if an endorsement holder decided to use surveyor’s tape to mark lines, one roll would be sufficient.  If all endorsement holders used surveyor’s tape, the total cost would be between $96 (32 x $3) and $352 (32 x $11).</w:t>
      </w:r>
    </w:p>
    <w:p w:rsidR="00B05382" w:rsidRDefault="00B05382" w:rsidP="00B05382">
      <w:pPr>
        <w:ind w:firstLine="360"/>
      </w:pPr>
    </w:p>
    <w:p w:rsidR="00652335" w:rsidRDefault="00652335" w:rsidP="00652335"/>
    <w:p w:rsidR="00BE0C78" w:rsidRDefault="00BE0C78" w:rsidP="00652335"/>
    <w:p w:rsidR="00BE0C78" w:rsidRDefault="00BE0C78" w:rsidP="00652335"/>
    <w:p w:rsidR="00652335" w:rsidRDefault="00652335" w:rsidP="00652335">
      <w:pPr>
        <w:spacing w:line="276" w:lineRule="auto"/>
        <w:outlineLvl w:val="0"/>
        <w:rPr>
          <w:sz w:val="28"/>
          <w:szCs w:val="28"/>
        </w:rPr>
      </w:pPr>
      <w:r>
        <w:rPr>
          <w:b/>
          <w:sz w:val="28"/>
          <w:szCs w:val="28"/>
        </w:rPr>
        <w:lastRenderedPageBreak/>
        <w:t>Social Effects:</w:t>
      </w:r>
    </w:p>
    <w:p w:rsidR="00A14ACB" w:rsidRDefault="00652335" w:rsidP="00E2282D">
      <w:pPr>
        <w:ind w:firstLine="360"/>
        <w:rPr>
          <w:color w:val="000000"/>
        </w:rPr>
      </w:pPr>
      <w:r>
        <w:rPr>
          <w:color w:val="000000"/>
        </w:rPr>
        <w:t xml:space="preserve">In general, the social effects of additional gear specifications would be associated with the economic effects and burden on black sea bass fishermen, and with broad social benefits that could occur with improved protection for right whales. </w:t>
      </w:r>
      <w:r w:rsidR="00E2282D">
        <w:rPr>
          <w:color w:val="000000"/>
        </w:rPr>
        <w:t>T</w:t>
      </w:r>
      <w:r>
        <w:rPr>
          <w:color w:val="000000"/>
        </w:rPr>
        <w:t xml:space="preserve">here could be some economic costs for fishermen if gear specifications require purchase of additional line and marking supplies. This could affect business cost decisions, which may have some negative effects on crew and associated </w:t>
      </w:r>
      <w:proofErr w:type="spellStart"/>
      <w:r>
        <w:rPr>
          <w:color w:val="000000"/>
        </w:rPr>
        <w:t>shoreside</w:t>
      </w:r>
      <w:proofErr w:type="spellEnd"/>
      <w:r>
        <w:rPr>
          <w:color w:val="000000"/>
        </w:rPr>
        <w:t xml:space="preserve"> support. Under </w:t>
      </w:r>
      <w:r>
        <w:rPr>
          <w:b/>
          <w:color w:val="000000"/>
        </w:rPr>
        <w:t>Alternative 1 (No Action)</w:t>
      </w:r>
      <w:r>
        <w:rPr>
          <w:color w:val="000000"/>
        </w:rPr>
        <w:t xml:space="preserve">, these effects would not be expected because the black sea bass pot fishermen are already required to </w:t>
      </w:r>
      <w:r w:rsidR="00E020B3">
        <w:rPr>
          <w:color w:val="000000"/>
        </w:rPr>
        <w:t xml:space="preserve">meet </w:t>
      </w:r>
      <w:r>
        <w:rPr>
          <w:color w:val="000000"/>
        </w:rPr>
        <w:t>the ALWTRP gear specifications. Changing the specified breaking strength</w:t>
      </w:r>
      <w:r w:rsidR="00E020B3">
        <w:rPr>
          <w:color w:val="000000"/>
        </w:rPr>
        <w:t xml:space="preserve"> and markings</w:t>
      </w:r>
      <w:r>
        <w:rPr>
          <w:color w:val="000000"/>
        </w:rPr>
        <w:t xml:space="preserve"> under</w:t>
      </w:r>
      <w:r w:rsidR="00E106B3">
        <w:t xml:space="preserve"> </w:t>
      </w:r>
      <w:r w:rsidR="000A1637">
        <w:rPr>
          <w:b/>
          <w:color w:val="000000"/>
        </w:rPr>
        <w:t>Alternative</w:t>
      </w:r>
      <w:r>
        <w:rPr>
          <w:b/>
          <w:color w:val="000000"/>
        </w:rPr>
        <w:t xml:space="preserve"> 2</w:t>
      </w:r>
      <w:r w:rsidR="000A1637">
        <w:rPr>
          <w:b/>
          <w:color w:val="000000"/>
        </w:rPr>
        <w:t xml:space="preserve"> – Preferred Alternative</w:t>
      </w:r>
      <w:r>
        <w:rPr>
          <w:color w:val="000000"/>
        </w:rPr>
        <w:t xml:space="preserve"> </w:t>
      </w:r>
      <w:r>
        <w:rPr>
          <w:b/>
          <w:color w:val="000000"/>
        </w:rPr>
        <w:t xml:space="preserve">4 </w:t>
      </w:r>
      <w:r>
        <w:rPr>
          <w:color w:val="000000"/>
        </w:rPr>
        <w:t xml:space="preserve">would likely increase business costs by requiring new gear to meet the requirements.  </w:t>
      </w:r>
    </w:p>
    <w:p w:rsidR="000A1637" w:rsidRDefault="000A1637" w:rsidP="00E2282D">
      <w:pPr>
        <w:ind w:firstLine="360"/>
        <w:rPr>
          <w:color w:val="000000"/>
        </w:rPr>
      </w:pPr>
    </w:p>
    <w:p w:rsidR="00923995" w:rsidRPr="00104397" w:rsidRDefault="00923995" w:rsidP="00923995">
      <w:pPr>
        <w:pStyle w:val="Tabletitle"/>
        <w:rPr>
          <w:rFonts w:eastAsiaTheme="minorHAnsi"/>
          <w:bCs w:val="0"/>
        </w:rPr>
      </w:pPr>
    </w:p>
    <w:p w:rsidR="00923995" w:rsidRPr="00616F74" w:rsidRDefault="00923995" w:rsidP="00923995">
      <w:pPr>
        <w:rPr>
          <w:b/>
          <w:highlight w:val="yellow"/>
        </w:rPr>
      </w:pPr>
      <w:r w:rsidRPr="00616F74">
        <w:rPr>
          <w:b/>
          <w:highlight w:val="yellow"/>
        </w:rPr>
        <w:t>REQUIRED COMMITTEE ACTION:</w:t>
      </w:r>
    </w:p>
    <w:p w:rsidR="00923995" w:rsidRPr="00616F74" w:rsidRDefault="00923995" w:rsidP="00923995">
      <w:pPr>
        <w:ind w:firstLine="720"/>
        <w:rPr>
          <w:highlight w:val="yellow"/>
        </w:rPr>
      </w:pPr>
      <w:r w:rsidRPr="00616F74">
        <w:rPr>
          <w:highlight w:val="yellow"/>
        </w:rPr>
        <w:t>Option 1: Modify action and alternatives</w:t>
      </w:r>
      <w:r w:rsidR="00E020B3">
        <w:rPr>
          <w:highlight w:val="yellow"/>
        </w:rPr>
        <w:t xml:space="preserve"> for Action 2.</w:t>
      </w:r>
    </w:p>
    <w:p w:rsidR="00923995" w:rsidRPr="00616F74" w:rsidRDefault="00923995" w:rsidP="00923995">
      <w:pPr>
        <w:ind w:firstLine="720"/>
        <w:rPr>
          <w:highlight w:val="yellow"/>
        </w:rPr>
      </w:pPr>
      <w:r w:rsidRPr="00616F74">
        <w:rPr>
          <w:highlight w:val="yellow"/>
        </w:rPr>
        <w:t xml:space="preserve">Option 2: </w:t>
      </w:r>
      <w:r>
        <w:rPr>
          <w:highlight w:val="yellow"/>
        </w:rPr>
        <w:t>Do not modify action and alternatives</w:t>
      </w:r>
      <w:r w:rsidR="00E020B3">
        <w:rPr>
          <w:highlight w:val="yellow"/>
        </w:rPr>
        <w:t xml:space="preserve"> for Action2.</w:t>
      </w:r>
    </w:p>
    <w:p w:rsidR="00923995" w:rsidRDefault="00923995" w:rsidP="00923995">
      <w:pPr>
        <w:ind w:firstLine="720"/>
      </w:pPr>
      <w:r w:rsidRPr="00616F74">
        <w:rPr>
          <w:highlight w:val="yellow"/>
        </w:rPr>
        <w:t xml:space="preserve">Option 3: </w:t>
      </w:r>
      <w:r>
        <w:rPr>
          <w:highlight w:val="yellow"/>
        </w:rPr>
        <w:t>Others??</w:t>
      </w:r>
    </w:p>
    <w:p w:rsidR="000A1637" w:rsidRDefault="000A1637" w:rsidP="00E2282D">
      <w:pPr>
        <w:ind w:firstLine="360"/>
        <w:rPr>
          <w:color w:val="000000"/>
        </w:rPr>
      </w:pPr>
    </w:p>
    <w:p w:rsidR="000A1637" w:rsidRDefault="00435283" w:rsidP="004117AC">
      <w:pPr>
        <w:rPr>
          <w:color w:val="000000"/>
        </w:rPr>
      </w:pPr>
      <w:r>
        <w:rPr>
          <w:b/>
          <w:color w:val="000000"/>
          <w:highlight w:val="yellow"/>
        </w:rPr>
        <w:t xml:space="preserve">Biological Opinion:  </w:t>
      </w:r>
      <w:r w:rsidR="004117AC" w:rsidRPr="004117AC">
        <w:rPr>
          <w:color w:val="000000"/>
          <w:highlight w:val="yellow"/>
        </w:rPr>
        <w:t>The Committee ought to discuss and make a recommendation on the record as to whether or not they want to see a draft Biological Opinion for the snapper grouper fishery before the final opinion is drafted.  It has been suggested that if the Council wishes to see a draft opinion, it may not be possible for NMFS/U.S. Secretary of Commerce to implement Snapper Grouper Regulatory Amendment 16 prior to the beginning of November 2016</w:t>
      </w:r>
      <w:r>
        <w:rPr>
          <w:color w:val="000000"/>
          <w:highlight w:val="yellow"/>
        </w:rPr>
        <w:t xml:space="preserve">.  As per the Integration agreement, the PR Committee ought to recommend that the Council requests an update to the </w:t>
      </w:r>
      <w:proofErr w:type="spellStart"/>
      <w:r>
        <w:rPr>
          <w:color w:val="000000"/>
          <w:highlight w:val="yellow"/>
        </w:rPr>
        <w:t>BiOp</w:t>
      </w:r>
      <w:proofErr w:type="spellEnd"/>
      <w:r>
        <w:rPr>
          <w:color w:val="000000"/>
          <w:highlight w:val="yellow"/>
        </w:rPr>
        <w:t xml:space="preserve"> (under Option 1 of the agreement)</w:t>
      </w:r>
      <w:r w:rsidR="004117AC" w:rsidRPr="004117AC">
        <w:rPr>
          <w:color w:val="000000"/>
          <w:highlight w:val="yellow"/>
        </w:rPr>
        <w:t>.</w:t>
      </w:r>
    </w:p>
    <w:p w:rsidR="004117AC" w:rsidRDefault="004117AC" w:rsidP="000A1637">
      <w:pPr>
        <w:rPr>
          <w:b/>
          <w:highlight w:val="yellow"/>
        </w:rPr>
      </w:pPr>
    </w:p>
    <w:p w:rsidR="000A1637" w:rsidRPr="0031499D" w:rsidRDefault="000A1637" w:rsidP="000A1637">
      <w:pPr>
        <w:rPr>
          <w:b/>
          <w:highlight w:val="yellow"/>
        </w:rPr>
      </w:pPr>
      <w:r w:rsidRPr="0031499D">
        <w:rPr>
          <w:b/>
          <w:highlight w:val="yellow"/>
        </w:rPr>
        <w:t>REQUIRED COMMITTEE ACTION:</w:t>
      </w:r>
    </w:p>
    <w:p w:rsidR="000A1637" w:rsidRPr="0031499D" w:rsidRDefault="000A1637" w:rsidP="000A1637">
      <w:pPr>
        <w:rPr>
          <w:highlight w:val="yellow"/>
        </w:rPr>
      </w:pPr>
      <w:proofErr w:type="gramStart"/>
      <w:r w:rsidRPr="0031499D">
        <w:rPr>
          <w:highlight w:val="yellow"/>
        </w:rPr>
        <w:t>Option 1.</w:t>
      </w:r>
      <w:proofErr w:type="gramEnd"/>
      <w:r w:rsidRPr="0031499D">
        <w:rPr>
          <w:highlight w:val="yellow"/>
        </w:rPr>
        <w:t xml:space="preserve"> Approve </w:t>
      </w:r>
      <w:r>
        <w:rPr>
          <w:highlight w:val="yellow"/>
        </w:rPr>
        <w:t>SG Regulatory Amendment 16</w:t>
      </w:r>
      <w:r w:rsidRPr="0031499D">
        <w:rPr>
          <w:highlight w:val="yellow"/>
        </w:rPr>
        <w:t xml:space="preserve"> for for</w:t>
      </w:r>
      <w:r w:rsidR="00E020B3">
        <w:rPr>
          <w:highlight w:val="yellow"/>
        </w:rPr>
        <w:t>mal</w:t>
      </w:r>
      <w:r w:rsidRPr="0031499D">
        <w:rPr>
          <w:highlight w:val="yellow"/>
        </w:rPr>
        <w:t xml:space="preserve"> secretarial review and deem the codified text as necessary and appropriate.</w:t>
      </w:r>
    </w:p>
    <w:p w:rsidR="000A1637" w:rsidRPr="0031499D" w:rsidRDefault="000A1637" w:rsidP="000A1637">
      <w:pPr>
        <w:rPr>
          <w:highlight w:val="yellow"/>
        </w:rPr>
      </w:pPr>
      <w:proofErr w:type="gramStart"/>
      <w:r w:rsidRPr="0031499D">
        <w:rPr>
          <w:highlight w:val="yellow"/>
        </w:rPr>
        <w:t>Option 2.</w:t>
      </w:r>
      <w:proofErr w:type="gramEnd"/>
      <w:r w:rsidRPr="0031499D">
        <w:rPr>
          <w:highlight w:val="yellow"/>
        </w:rPr>
        <w:t xml:space="preserve"> Do not approve </w:t>
      </w:r>
      <w:r>
        <w:rPr>
          <w:highlight w:val="yellow"/>
        </w:rPr>
        <w:t>SG Regulatory Amendment 16</w:t>
      </w:r>
      <w:r w:rsidRPr="0031499D">
        <w:rPr>
          <w:highlight w:val="yellow"/>
        </w:rPr>
        <w:t xml:space="preserve"> for for</w:t>
      </w:r>
      <w:r w:rsidR="00E020B3">
        <w:rPr>
          <w:highlight w:val="yellow"/>
        </w:rPr>
        <w:t>mal</w:t>
      </w:r>
      <w:r w:rsidRPr="0031499D">
        <w:rPr>
          <w:highlight w:val="yellow"/>
        </w:rPr>
        <w:t xml:space="preserve"> secretarial review and do not deem the codified text as necessary and appropriate.</w:t>
      </w:r>
    </w:p>
    <w:p w:rsidR="000A1637" w:rsidRDefault="000A1637" w:rsidP="000A1637">
      <w:proofErr w:type="gramStart"/>
      <w:r w:rsidRPr="0031499D">
        <w:rPr>
          <w:highlight w:val="yellow"/>
        </w:rPr>
        <w:t>Option 3.</w:t>
      </w:r>
      <w:proofErr w:type="gramEnd"/>
      <w:r w:rsidRPr="0031499D">
        <w:rPr>
          <w:highlight w:val="yellow"/>
        </w:rPr>
        <w:t xml:space="preserve"> </w:t>
      </w:r>
      <w:proofErr w:type="gramStart"/>
      <w:r w:rsidRPr="0031499D">
        <w:rPr>
          <w:highlight w:val="yellow"/>
        </w:rPr>
        <w:t>Others??</w:t>
      </w:r>
      <w:proofErr w:type="gramEnd"/>
    </w:p>
    <w:p w:rsidR="000A1637" w:rsidRDefault="000A1637" w:rsidP="000A1637">
      <w:pPr>
        <w:pStyle w:val="Figuretitle"/>
      </w:pPr>
    </w:p>
    <w:p w:rsidR="000A1637" w:rsidRDefault="000A1637" w:rsidP="000A1637">
      <w:pPr>
        <w:pStyle w:val="Figuretitle"/>
        <w:rPr>
          <w:b/>
          <w:sz w:val="36"/>
          <w:szCs w:val="36"/>
        </w:rPr>
      </w:pPr>
      <w:r w:rsidRPr="00480590">
        <w:rPr>
          <w:b/>
          <w:bCs/>
          <w:sz w:val="36"/>
          <w:szCs w:val="36"/>
        </w:rPr>
        <w:t>MOTION</w:t>
      </w:r>
      <w:r w:rsidRPr="00480590">
        <w:rPr>
          <w:b/>
          <w:sz w:val="36"/>
          <w:szCs w:val="36"/>
        </w:rPr>
        <w:t>: APPROVE SNAPPER GROUPER REGULATORY AMENDMENT 16 FOR</w:t>
      </w:r>
      <w:r w:rsidR="00E020B3" w:rsidRPr="00480590">
        <w:rPr>
          <w:b/>
          <w:sz w:val="36"/>
          <w:szCs w:val="36"/>
        </w:rPr>
        <w:t xml:space="preserve"> FORMAL</w:t>
      </w:r>
      <w:r w:rsidRPr="00480590">
        <w:rPr>
          <w:b/>
          <w:sz w:val="36"/>
          <w:szCs w:val="36"/>
        </w:rPr>
        <w:t xml:space="preserve"> SECRETARIAL REVIEW AND DEEM THE CODIFIED TEXT AS NECESSARY AND APPROPRIATE. GIVE STAFF EDITORIAL LICENSE TO MAKE ANY NECESSARY EDITORIAL CHANGES TO THE DOCUMENT/CODIFIED TEXT AND GIVE THE COUNCIL CHAIR AUTHORITY TO APPROVE THE REVISIONS AND RE-DEEM THE CODIFIED TEXT.</w:t>
      </w:r>
    </w:p>
    <w:p w:rsidR="00733DBF" w:rsidRPr="00480590" w:rsidRDefault="00733DBF" w:rsidP="000A1637">
      <w:pPr>
        <w:pStyle w:val="Figuretitle"/>
        <w:rPr>
          <w:b/>
          <w:sz w:val="36"/>
          <w:szCs w:val="36"/>
        </w:rPr>
      </w:pPr>
      <w:r>
        <w:rPr>
          <w:b/>
          <w:sz w:val="36"/>
          <w:szCs w:val="36"/>
        </w:rPr>
        <w:lastRenderedPageBreak/>
        <w:t>MOTION APPROVED BY COMMITTEE</w:t>
      </w:r>
    </w:p>
    <w:p w:rsidR="000A1637" w:rsidRDefault="000A1637" w:rsidP="00E2282D">
      <w:pPr>
        <w:ind w:firstLine="360"/>
        <w:rPr>
          <w:color w:val="000000"/>
        </w:rPr>
      </w:pPr>
    </w:p>
    <w:p w:rsidR="00887F22" w:rsidRPr="00923995" w:rsidRDefault="00887F22" w:rsidP="00923995">
      <w:pPr>
        <w:rPr>
          <w:rFonts w:ascii="Arial" w:hAnsi="Arial" w:cs="Arial"/>
          <w:szCs w:val="24"/>
        </w:rPr>
      </w:pPr>
      <w:r w:rsidRPr="00887F22">
        <w:rPr>
          <w:rFonts w:ascii="Garamond" w:hAnsi="Garamond" w:cs="Garamond"/>
          <w:b/>
          <w:bCs/>
          <w:color w:val="528DD3"/>
          <w:sz w:val="44"/>
          <w:szCs w:val="44"/>
        </w:rPr>
        <w:t xml:space="preserve">Timing for SG </w:t>
      </w:r>
      <w:r>
        <w:rPr>
          <w:rFonts w:ascii="Garamond" w:hAnsi="Garamond" w:cs="Garamond"/>
          <w:b/>
          <w:bCs/>
          <w:color w:val="528DD3"/>
          <w:sz w:val="44"/>
          <w:szCs w:val="44"/>
        </w:rPr>
        <w:t xml:space="preserve">Regulatory </w:t>
      </w:r>
      <w:r w:rsidR="00DB4900">
        <w:rPr>
          <w:rFonts w:ascii="Garamond" w:hAnsi="Garamond" w:cs="Garamond"/>
          <w:b/>
          <w:bCs/>
          <w:color w:val="528DD3"/>
          <w:sz w:val="44"/>
          <w:szCs w:val="44"/>
        </w:rPr>
        <w:t>Amendment 16</w:t>
      </w:r>
      <w:r w:rsidRPr="00887F22">
        <w:rPr>
          <w:rFonts w:ascii="Garamond" w:hAnsi="Garamond" w:cs="Garamond"/>
          <w:b/>
          <w:bCs/>
          <w:color w:val="528DD3"/>
          <w:sz w:val="44"/>
          <w:szCs w:val="44"/>
        </w:rPr>
        <w:t xml:space="preserve"> </w:t>
      </w:r>
      <w:r>
        <w:rPr>
          <w:rFonts w:ascii="Garamond" w:hAnsi="Garamond" w:cs="Garamond"/>
          <w:b/>
          <w:bCs/>
          <w:color w:val="528DD3"/>
          <w:sz w:val="44"/>
          <w:szCs w:val="44"/>
        </w:rPr>
        <w:t xml:space="preserve"> </w:t>
      </w:r>
    </w:p>
    <w:p w:rsidR="002379A5" w:rsidRPr="00887F22" w:rsidRDefault="002379A5" w:rsidP="002379A5">
      <w:pPr>
        <w:widowControl w:val="0"/>
        <w:autoSpaceDE w:val="0"/>
        <w:autoSpaceDN w:val="0"/>
        <w:adjustRightInd w:val="0"/>
        <w:ind w:left="1080" w:hanging="360"/>
        <w:rPr>
          <w:rFonts w:cs="Times New Roman"/>
          <w:color w:val="000000"/>
          <w:sz w:val="22"/>
        </w:rPr>
      </w:pPr>
      <w:r w:rsidRPr="00887F22">
        <w:rPr>
          <w:rFonts w:cs="Times New Roman"/>
          <w:color w:val="000000"/>
          <w:sz w:val="22"/>
        </w:rPr>
        <w:t xml:space="preserve">• </w:t>
      </w:r>
      <w:r>
        <w:rPr>
          <w:rFonts w:cs="Times New Roman"/>
          <w:color w:val="000000"/>
          <w:sz w:val="22"/>
        </w:rPr>
        <w:tab/>
      </w:r>
      <w:r w:rsidRPr="00887F22">
        <w:rPr>
          <w:rFonts w:cs="Times New Roman"/>
          <w:color w:val="000000"/>
          <w:sz w:val="22"/>
        </w:rPr>
        <w:t>South Atlanti</w:t>
      </w:r>
      <w:r w:rsidR="008F7E01">
        <w:rPr>
          <w:rFonts w:cs="Times New Roman"/>
          <w:color w:val="000000"/>
          <w:sz w:val="22"/>
        </w:rPr>
        <w:t>c Council reviews the final document, makes any modifications as necessary, and approves for formal review</w:t>
      </w:r>
      <w:r w:rsidRPr="00887F22">
        <w:rPr>
          <w:rFonts w:cs="Times New Roman"/>
          <w:color w:val="000000"/>
          <w:sz w:val="22"/>
        </w:rPr>
        <w:t xml:space="preserve"> in </w:t>
      </w:r>
      <w:r w:rsidR="00E74FC1">
        <w:rPr>
          <w:rFonts w:cs="Times New Roman"/>
          <w:color w:val="000000"/>
          <w:sz w:val="22"/>
        </w:rPr>
        <w:t>December</w:t>
      </w:r>
      <w:r w:rsidRPr="00887F22">
        <w:rPr>
          <w:rFonts w:cs="Times New Roman"/>
          <w:color w:val="000000"/>
          <w:sz w:val="22"/>
        </w:rPr>
        <w:t xml:space="preserve"> 201</w:t>
      </w:r>
      <w:r>
        <w:rPr>
          <w:rFonts w:cs="Times New Roman"/>
          <w:color w:val="000000"/>
          <w:sz w:val="22"/>
        </w:rPr>
        <w:t>5</w:t>
      </w:r>
      <w:r w:rsidRPr="00887F22">
        <w:rPr>
          <w:rFonts w:cs="Times New Roman"/>
          <w:color w:val="000000"/>
          <w:sz w:val="22"/>
        </w:rPr>
        <w:t xml:space="preserve">. </w:t>
      </w:r>
    </w:p>
    <w:p w:rsidR="00887F22" w:rsidRPr="00887F22" w:rsidRDefault="00887F22" w:rsidP="00887F22">
      <w:pPr>
        <w:widowControl w:val="0"/>
        <w:autoSpaceDE w:val="0"/>
        <w:autoSpaceDN w:val="0"/>
        <w:adjustRightInd w:val="0"/>
        <w:ind w:left="1080" w:hanging="360"/>
        <w:rPr>
          <w:rFonts w:cs="Times New Roman"/>
          <w:color w:val="000000"/>
          <w:sz w:val="22"/>
        </w:rPr>
      </w:pPr>
      <w:r w:rsidRPr="00887F22">
        <w:rPr>
          <w:rFonts w:cs="Times New Roman"/>
          <w:color w:val="000000"/>
          <w:sz w:val="22"/>
        </w:rPr>
        <w:t xml:space="preserve">• </w:t>
      </w:r>
      <w:r>
        <w:rPr>
          <w:rFonts w:cs="Times New Roman"/>
          <w:color w:val="000000"/>
          <w:sz w:val="22"/>
        </w:rPr>
        <w:tab/>
      </w:r>
      <w:r w:rsidR="00E74FC1">
        <w:rPr>
          <w:rFonts w:cs="Times New Roman"/>
          <w:color w:val="000000"/>
          <w:sz w:val="22"/>
        </w:rPr>
        <w:t>Send</w:t>
      </w:r>
      <w:r>
        <w:rPr>
          <w:rFonts w:cs="Times New Roman"/>
          <w:color w:val="000000"/>
          <w:sz w:val="22"/>
        </w:rPr>
        <w:t xml:space="preserve"> </w:t>
      </w:r>
      <w:r w:rsidRPr="00887F22">
        <w:rPr>
          <w:rFonts w:cs="Times New Roman"/>
          <w:color w:val="000000"/>
          <w:sz w:val="22"/>
        </w:rPr>
        <w:t xml:space="preserve">SG </w:t>
      </w:r>
      <w:r>
        <w:rPr>
          <w:rFonts w:cs="Times New Roman"/>
          <w:color w:val="000000"/>
          <w:sz w:val="22"/>
        </w:rPr>
        <w:t xml:space="preserve">Regulatory Amendment 16 for formal review by </w:t>
      </w:r>
      <w:r w:rsidR="00E74FC1">
        <w:rPr>
          <w:rFonts w:cs="Times New Roman"/>
          <w:color w:val="000000"/>
          <w:sz w:val="22"/>
        </w:rPr>
        <w:t>January 15, 2016</w:t>
      </w:r>
      <w:r w:rsidRPr="00887F22">
        <w:rPr>
          <w:rFonts w:cs="Times New Roman"/>
          <w:color w:val="000000"/>
          <w:sz w:val="22"/>
        </w:rPr>
        <w:t xml:space="preserve">. </w:t>
      </w:r>
    </w:p>
    <w:p w:rsidR="00E106B3" w:rsidRPr="009E497B" w:rsidRDefault="00887F22" w:rsidP="009E497B">
      <w:pPr>
        <w:widowControl w:val="0"/>
        <w:autoSpaceDE w:val="0"/>
        <w:autoSpaceDN w:val="0"/>
        <w:adjustRightInd w:val="0"/>
        <w:ind w:left="1080" w:hanging="360"/>
        <w:rPr>
          <w:rFonts w:cs="Times New Roman"/>
          <w:color w:val="000000"/>
          <w:sz w:val="22"/>
        </w:rPr>
      </w:pPr>
      <w:r w:rsidRPr="00887F22">
        <w:rPr>
          <w:rFonts w:cs="Times New Roman"/>
          <w:color w:val="000000"/>
          <w:sz w:val="22"/>
        </w:rPr>
        <w:t xml:space="preserve">• </w:t>
      </w:r>
      <w:r>
        <w:rPr>
          <w:rFonts w:cs="Times New Roman"/>
          <w:color w:val="000000"/>
          <w:sz w:val="22"/>
        </w:rPr>
        <w:tab/>
      </w:r>
      <w:r w:rsidRPr="00887F22">
        <w:rPr>
          <w:rFonts w:cs="Times New Roman"/>
          <w:color w:val="000000"/>
          <w:sz w:val="22"/>
        </w:rPr>
        <w:t>Target date for regulatio</w:t>
      </w:r>
      <w:r>
        <w:rPr>
          <w:rFonts w:cs="Times New Roman"/>
          <w:color w:val="000000"/>
          <w:sz w:val="22"/>
        </w:rPr>
        <w:t xml:space="preserve">ns to be in place </w:t>
      </w:r>
      <w:r w:rsidR="00E74FC1">
        <w:rPr>
          <w:rFonts w:cs="Times New Roman"/>
          <w:color w:val="000000"/>
          <w:sz w:val="22"/>
        </w:rPr>
        <w:t xml:space="preserve">is </w:t>
      </w:r>
      <w:r>
        <w:rPr>
          <w:rFonts w:cs="Times New Roman"/>
          <w:color w:val="000000"/>
          <w:sz w:val="22"/>
        </w:rPr>
        <w:t xml:space="preserve">by </w:t>
      </w:r>
      <w:proofErr w:type="gramStart"/>
      <w:r w:rsidR="00E74FC1">
        <w:rPr>
          <w:rFonts w:cs="Times New Roman"/>
          <w:color w:val="000000"/>
          <w:sz w:val="22"/>
        </w:rPr>
        <w:t>Summer</w:t>
      </w:r>
      <w:proofErr w:type="gramEnd"/>
      <w:r w:rsidR="00E74FC1">
        <w:rPr>
          <w:rFonts w:cs="Times New Roman"/>
          <w:color w:val="000000"/>
          <w:sz w:val="22"/>
        </w:rPr>
        <w:t xml:space="preserve"> </w:t>
      </w:r>
      <w:r>
        <w:rPr>
          <w:rFonts w:cs="Times New Roman"/>
          <w:color w:val="000000"/>
          <w:sz w:val="22"/>
        </w:rPr>
        <w:t>2016</w:t>
      </w:r>
      <w:r w:rsidRPr="00887F22">
        <w:rPr>
          <w:rFonts w:cs="Times New Roman"/>
          <w:color w:val="000000"/>
          <w:sz w:val="22"/>
        </w:rPr>
        <w:t>.</w:t>
      </w:r>
    </w:p>
    <w:sectPr w:rsidR="00E106B3" w:rsidRPr="009E497B" w:rsidSect="004B4FC5">
      <w:footerReference w:type="even" r:id="rId36"/>
      <w:footerReference w:type="default" r:id="rId37"/>
      <w:pgSz w:w="12240" w:h="15840"/>
      <w:pgMar w:top="1440" w:right="1260" w:bottom="1440" w:left="1800" w:header="720" w:footer="720" w:gutter="0"/>
      <w:pgNumType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869" w:rsidRDefault="00A60869" w:rsidP="00345308">
      <w:r>
        <w:separator/>
      </w:r>
    </w:p>
  </w:endnote>
  <w:endnote w:type="continuationSeparator" w:id="0">
    <w:p w:rsidR="00A60869" w:rsidRDefault="00A60869" w:rsidP="003453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IHJI+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D18" w:rsidRDefault="00244D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D18" w:rsidRDefault="00244D18" w:rsidP="00AF014F">
    <w:pPr>
      <w:pStyle w:val="Footer"/>
      <w:tabs>
        <w:tab w:val="left" w:pos="4780"/>
      </w:tabs>
      <w:rPr>
        <w:sz w:val="16"/>
        <w:szCs w:val="16"/>
      </w:rPr>
    </w:pPr>
  </w:p>
  <w:p w:rsidR="00244D18" w:rsidRDefault="000242E5" w:rsidP="00AF014F">
    <w:pPr>
      <w:pStyle w:val="Footer"/>
      <w:tabs>
        <w:tab w:val="left" w:pos="4780"/>
      </w:tabs>
      <w:rPr>
        <w:sz w:val="16"/>
        <w:szCs w:val="16"/>
      </w:rPr>
    </w:pPr>
    <w:r w:rsidRPr="000242E5">
      <w:rPr>
        <w:b/>
        <w:noProof/>
      </w:rPr>
      <w:pict>
        <v:shapetype id="_x0000_t32" coordsize="21600,21600" o:spt="32" o:oned="t" path="m,l21600,21600e" filled="f">
          <v:path arrowok="t" fillok="f" o:connecttype="none"/>
          <o:lock v:ext="edit" shapetype="t"/>
        </v:shapetype>
        <v:shape id="_x0000_s4099" type="#_x0000_t32" style="position:absolute;margin-left:4.35pt;margin-top:.25pt;width:513.75pt;height:0;z-index:251660288;visibility:visible;mso-wrap-distance-top:-8e-5mm;mso-wrap-distance-bottom:-8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" strokeweight="1.75pt"/>
      </w:pict>
    </w:r>
  </w:p>
  <w:p w:rsidR="00244D18" w:rsidRPr="00483415" w:rsidRDefault="000242E5" w:rsidP="00AF014F">
    <w:pPr>
      <w:pStyle w:val="Footer"/>
      <w:framePr w:wrap="around" w:vAnchor="text" w:hAnchor="page" w:x="6136" w:y="100"/>
      <w:rPr>
        <w:rStyle w:val="PageNumber"/>
        <w:szCs w:val="24"/>
      </w:rPr>
    </w:pPr>
    <w:r w:rsidRPr="00483415">
      <w:rPr>
        <w:rStyle w:val="PageNumber"/>
        <w:b/>
        <w:szCs w:val="24"/>
      </w:rPr>
      <w:fldChar w:fldCharType="begin"/>
    </w:r>
    <w:r w:rsidR="00244D18" w:rsidRPr="00483415">
      <w:rPr>
        <w:rStyle w:val="PageNumber"/>
        <w:b/>
        <w:szCs w:val="24"/>
      </w:rPr>
      <w:instrText xml:space="preserve">PAGE  </w:instrText>
    </w:r>
    <w:r w:rsidRPr="00483415">
      <w:rPr>
        <w:rStyle w:val="PageNumber"/>
        <w:b/>
        <w:szCs w:val="24"/>
      </w:rPr>
      <w:fldChar w:fldCharType="separate"/>
    </w:r>
    <w:r w:rsidR="00733DBF">
      <w:rPr>
        <w:rStyle w:val="PageNumber"/>
        <w:b/>
        <w:noProof/>
        <w:szCs w:val="24"/>
      </w:rPr>
      <w:t>23</w:t>
    </w:r>
    <w:r w:rsidRPr="00483415">
      <w:rPr>
        <w:rStyle w:val="PageNumber"/>
        <w:b/>
        <w:szCs w:val="24"/>
      </w:rPr>
      <w:fldChar w:fldCharType="end"/>
    </w:r>
  </w:p>
  <w:p w:rsidR="00244D18" w:rsidRPr="00CF13EE" w:rsidRDefault="00244D18" w:rsidP="00AF014F">
    <w:pPr>
      <w:pStyle w:val="Footer"/>
      <w:tabs>
        <w:tab w:val="right" w:pos="9990"/>
      </w:tabs>
      <w:rPr>
        <w:b/>
      </w:rPr>
    </w:pPr>
    <w:r w:rsidRPr="00CF13EE">
      <w:rPr>
        <w:rStyle w:val="PageNumber"/>
        <w:b/>
      </w:rPr>
      <w:t>South Atlantic Snapper Grouper</w:t>
    </w:r>
    <w:r w:rsidRPr="00CF13EE">
      <w:rPr>
        <w:rStyle w:val="PageNumber"/>
        <w:b/>
      </w:rPr>
      <w:tab/>
    </w:r>
    <w:r w:rsidRPr="00CF13EE">
      <w:rPr>
        <w:rStyle w:val="PageNumber"/>
        <w:b/>
      </w:rPr>
      <w:tab/>
    </w:r>
    <w:r>
      <w:rPr>
        <w:rStyle w:val="PageNumber"/>
        <w:b/>
      </w:rPr>
      <w:t>Decision Document</w:t>
    </w:r>
  </w:p>
  <w:p w:rsidR="00244D18" w:rsidRPr="00F5103A" w:rsidRDefault="00244D18" w:rsidP="00AF014F">
    <w:pPr>
      <w:pStyle w:val="Footer"/>
      <w:tabs>
        <w:tab w:val="left" w:pos="1900"/>
      </w:tabs>
      <w:rPr>
        <w:b/>
      </w:rPr>
    </w:pPr>
    <w:r>
      <w:rPr>
        <w:b/>
      </w:rPr>
      <w:t>REGULATORY AMENDMENT 16</w:t>
    </w:r>
  </w:p>
  <w:p w:rsidR="00244D18" w:rsidRDefault="00244D18">
    <w:pPr>
      <w:pStyle w:val="Footer"/>
      <w:tabs>
        <w:tab w:val="left" w:pos="1900"/>
      </w:tabs>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D18" w:rsidRDefault="00244D1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D18" w:rsidRDefault="00244D18" w:rsidP="00AF014F">
    <w:pPr>
      <w:pStyle w:val="Footer"/>
      <w:tabs>
        <w:tab w:val="left" w:pos="4780"/>
      </w:tabs>
      <w:rPr>
        <w:sz w:val="16"/>
        <w:szCs w:val="16"/>
      </w:rPr>
    </w:pPr>
  </w:p>
  <w:p w:rsidR="00244D18" w:rsidRDefault="000242E5" w:rsidP="00AF014F">
    <w:pPr>
      <w:pStyle w:val="Footer"/>
      <w:tabs>
        <w:tab w:val="left" w:pos="4780"/>
      </w:tabs>
      <w:rPr>
        <w:sz w:val="16"/>
        <w:szCs w:val="16"/>
      </w:rPr>
    </w:pPr>
    <w:r w:rsidRPr="000242E5">
      <w:rPr>
        <w:b/>
        <w:noProof/>
      </w:rPr>
      <w:pict>
        <v:shapetype id="_x0000_t32" coordsize="21600,21600" o:spt="32" o:oned="t" path="m,l21600,21600e" filled="f">
          <v:path arrowok="t" fillok="f" o:connecttype="none"/>
          <o:lock v:ext="edit" shapetype="t"/>
        </v:shapetype>
        <v:shape id="AutoShape 4" o:spid="_x0000_s4098" type="#_x0000_t32" style="position:absolute;margin-left:4.35pt;margin-top:.25pt;width:513.75pt;height:0;z-index:251659264;visibility:visible;mso-wrap-distance-top:-8e-5mm;mso-wrap-distance-bottom:-8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" strokeweight="1.75pt"/>
      </w:pict>
    </w:r>
  </w:p>
  <w:p w:rsidR="00244D18" w:rsidRPr="009C37D6" w:rsidRDefault="000242E5" w:rsidP="00AF014F">
    <w:pPr>
      <w:pStyle w:val="Footer"/>
      <w:framePr w:wrap="around" w:vAnchor="text" w:hAnchor="page" w:x="6136" w:y="100"/>
      <w:rPr>
        <w:rStyle w:val="PageNumber"/>
      </w:rPr>
    </w:pPr>
    <w:r w:rsidRPr="009C37D6">
      <w:rPr>
        <w:rStyle w:val="PageNumber"/>
        <w:b/>
        <w:sz w:val="32"/>
        <w:szCs w:val="32"/>
      </w:rPr>
      <w:fldChar w:fldCharType="begin"/>
    </w:r>
    <w:r w:rsidR="00244D18" w:rsidRPr="009C37D6">
      <w:rPr>
        <w:rStyle w:val="PageNumber"/>
        <w:b/>
        <w:sz w:val="32"/>
        <w:szCs w:val="32"/>
      </w:rPr>
      <w:instrText xml:space="preserve">PAGE  </w:instrText>
    </w:r>
    <w:r w:rsidRPr="009C37D6">
      <w:rPr>
        <w:rStyle w:val="PageNumber"/>
        <w:b/>
        <w:sz w:val="32"/>
        <w:szCs w:val="32"/>
      </w:rPr>
      <w:fldChar w:fldCharType="separate"/>
    </w:r>
    <w:r w:rsidR="00733DBF">
      <w:rPr>
        <w:rStyle w:val="PageNumber"/>
        <w:b/>
        <w:noProof/>
        <w:sz w:val="32"/>
        <w:szCs w:val="32"/>
      </w:rPr>
      <w:t>27</w:t>
    </w:r>
    <w:r w:rsidRPr="009C37D6">
      <w:rPr>
        <w:rStyle w:val="PageNumber"/>
        <w:b/>
        <w:sz w:val="32"/>
        <w:szCs w:val="32"/>
      </w:rPr>
      <w:fldChar w:fldCharType="end"/>
    </w:r>
  </w:p>
  <w:p w:rsidR="00244D18" w:rsidRPr="00CF13EE" w:rsidRDefault="00244D18" w:rsidP="00AF014F">
    <w:pPr>
      <w:pStyle w:val="Footer"/>
      <w:tabs>
        <w:tab w:val="right" w:pos="9990"/>
      </w:tabs>
      <w:rPr>
        <w:b/>
      </w:rPr>
    </w:pPr>
    <w:r w:rsidRPr="00CF13EE">
      <w:rPr>
        <w:rStyle w:val="PageNumber"/>
        <w:b/>
      </w:rPr>
      <w:t>South Atlantic Snapper Grouper</w:t>
    </w:r>
    <w:r w:rsidRPr="00CF13EE">
      <w:rPr>
        <w:rStyle w:val="PageNumber"/>
        <w:b/>
      </w:rPr>
      <w:tab/>
    </w:r>
    <w:r w:rsidRPr="00CF13EE">
      <w:rPr>
        <w:rStyle w:val="PageNumber"/>
        <w:b/>
      </w:rPr>
      <w:tab/>
    </w:r>
    <w:r>
      <w:rPr>
        <w:rStyle w:val="PageNumber"/>
        <w:b/>
      </w:rPr>
      <w:t>Decision Document</w:t>
    </w:r>
  </w:p>
  <w:p w:rsidR="00244D18" w:rsidRPr="00F5103A" w:rsidRDefault="00244D18" w:rsidP="00AF014F">
    <w:pPr>
      <w:pStyle w:val="Footer"/>
      <w:tabs>
        <w:tab w:val="left" w:pos="1900"/>
      </w:tabs>
      <w:rPr>
        <w:b/>
      </w:rPr>
    </w:pPr>
    <w:r>
      <w:rPr>
        <w:b/>
      </w:rPr>
      <w:t>REGULATORY AMENDMENT 16</w:t>
    </w:r>
  </w:p>
  <w:p w:rsidR="00244D18" w:rsidRDefault="00244D18">
    <w:pPr>
      <w:pStyle w:val="Footer"/>
      <w:tabs>
        <w:tab w:val="left" w:pos="1900"/>
      </w:tabs>
      <w:rPr>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D18" w:rsidRDefault="000242E5" w:rsidP="00FD4DAB">
    <w:pPr>
      <w:pStyle w:val="Footer"/>
      <w:framePr w:wrap="around" w:vAnchor="text" w:hAnchor="margin" w:xAlign="center" w:y="1"/>
      <w:rPr>
        <w:rStyle w:val="PageNumber"/>
      </w:rPr>
    </w:pPr>
    <w:r>
      <w:rPr>
        <w:rStyle w:val="PageNumber"/>
      </w:rPr>
      <w:fldChar w:fldCharType="begin"/>
    </w:r>
    <w:r w:rsidR="00244D18">
      <w:rPr>
        <w:rStyle w:val="PageNumber"/>
      </w:rPr>
      <w:instrText xml:space="preserve">PAGE  </w:instrText>
    </w:r>
    <w:r>
      <w:rPr>
        <w:rStyle w:val="PageNumber"/>
      </w:rPr>
      <w:fldChar w:fldCharType="end"/>
    </w:r>
  </w:p>
  <w:p w:rsidR="00244D18" w:rsidRDefault="00244D1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D18" w:rsidRPr="00483415" w:rsidRDefault="000242E5" w:rsidP="00C102FB">
    <w:pPr>
      <w:pStyle w:val="Footer"/>
      <w:framePr w:wrap="around" w:vAnchor="text" w:hAnchor="margin" w:xAlign="center" w:y="1"/>
      <w:rPr>
        <w:rStyle w:val="PageNumber"/>
        <w:b/>
      </w:rPr>
    </w:pPr>
    <w:r w:rsidRPr="00483415">
      <w:rPr>
        <w:rStyle w:val="PageNumber"/>
        <w:b/>
      </w:rPr>
      <w:fldChar w:fldCharType="begin"/>
    </w:r>
    <w:r w:rsidR="00244D18" w:rsidRPr="00483415">
      <w:rPr>
        <w:rStyle w:val="PageNumber"/>
        <w:b/>
      </w:rPr>
      <w:instrText xml:space="preserve">PAGE  </w:instrText>
    </w:r>
    <w:r w:rsidRPr="00483415">
      <w:rPr>
        <w:rStyle w:val="PageNumber"/>
        <w:b/>
      </w:rPr>
      <w:fldChar w:fldCharType="separate"/>
    </w:r>
    <w:r w:rsidR="00733DBF">
      <w:rPr>
        <w:rStyle w:val="PageNumber"/>
        <w:b/>
        <w:noProof/>
      </w:rPr>
      <w:t>57</w:t>
    </w:r>
    <w:r w:rsidRPr="00483415">
      <w:rPr>
        <w:rStyle w:val="PageNumber"/>
        <w:b/>
      </w:rPr>
      <w:fldChar w:fldCharType="end"/>
    </w:r>
  </w:p>
  <w:p w:rsidR="00244D18" w:rsidRPr="00483415" w:rsidRDefault="000242E5">
    <w:pPr>
      <w:pStyle w:val="Footer"/>
      <w:rPr>
        <w:b/>
        <w:szCs w:val="24"/>
      </w:rPr>
    </w:pPr>
    <w:r w:rsidRPr="000242E5">
      <w:rPr>
        <w:b/>
        <w:noProof/>
      </w:rPr>
      <w:pict>
        <v:shapetype id="_x0000_t32" coordsize="21600,21600" o:spt="32" o:oned="t" path="m,l21600,21600e" filled="f">
          <v:path arrowok="t" fillok="f" o:connecttype="none"/>
          <o:lock v:ext="edit" shapetype="t"/>
        </v:shapetype>
        <v:shape id="_x0000_s4097" type="#_x0000_t32" style="position:absolute;margin-left:-1.6pt;margin-top:-6.15pt;width:513.75pt;height:0;z-index:251662336;visibility:visible;mso-wrap-distance-top:-8e-5mm;mso-wrap-distance-bottom:-8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" strokeweight="1.75pt"/>
      </w:pict>
    </w:r>
    <w:r w:rsidR="00244D18">
      <w:rPr>
        <w:b/>
        <w:szCs w:val="24"/>
      </w:rPr>
      <w:t>South</w:t>
    </w:r>
    <w:r w:rsidR="00244D18" w:rsidRPr="00483415">
      <w:rPr>
        <w:b/>
        <w:szCs w:val="24"/>
      </w:rPr>
      <w:t xml:space="preserve"> </w:t>
    </w:r>
    <w:r w:rsidR="00244D18">
      <w:rPr>
        <w:b/>
        <w:szCs w:val="24"/>
      </w:rPr>
      <w:t>Atlantic Snapper Grouper</w:t>
    </w:r>
    <w:r w:rsidR="00244D18" w:rsidRPr="00483415">
      <w:rPr>
        <w:b/>
        <w:szCs w:val="24"/>
      </w:rPr>
      <w:tab/>
    </w:r>
    <w:r w:rsidR="00244D18" w:rsidRPr="00483415">
      <w:rPr>
        <w:b/>
        <w:szCs w:val="24"/>
      </w:rPr>
      <w:tab/>
      <w:t>Decision Document</w:t>
    </w:r>
  </w:p>
  <w:p w:rsidR="00244D18" w:rsidRPr="00483415" w:rsidRDefault="00244D18">
    <w:pPr>
      <w:pStyle w:val="Footer"/>
      <w:rPr>
        <w:b/>
        <w:szCs w:val="24"/>
      </w:rPr>
    </w:pPr>
    <w:r>
      <w:rPr>
        <w:b/>
        <w:szCs w:val="24"/>
      </w:rPr>
      <w:t>REGULATORY AMENDMENT</w:t>
    </w:r>
    <w:r w:rsidRPr="00483415">
      <w:rPr>
        <w:b/>
        <w:szCs w:val="24"/>
      </w:rPr>
      <w:t xml:space="preserve"> 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869" w:rsidRDefault="00A60869" w:rsidP="00345308">
      <w:r>
        <w:separator/>
      </w:r>
    </w:p>
  </w:footnote>
  <w:footnote w:type="continuationSeparator" w:id="0">
    <w:p w:rsidR="00A60869" w:rsidRDefault="00A60869" w:rsidP="003453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D18" w:rsidRDefault="00244D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D18" w:rsidRDefault="00244D1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D18" w:rsidRDefault="00244D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3710"/>
    <w:multiLevelType w:val="hybridMultilevel"/>
    <w:tmpl w:val="1E669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9A14B8"/>
    <w:multiLevelType w:val="hybridMultilevel"/>
    <w:tmpl w:val="051C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939DA"/>
    <w:multiLevelType w:val="hybridMultilevel"/>
    <w:tmpl w:val="8B04B8B2"/>
    <w:lvl w:ilvl="0" w:tplc="FAB8EA0C">
      <w:start w:val="1"/>
      <w:numFmt w:val="upperLetter"/>
      <w:lvlText w:val="%1."/>
      <w:lvlJc w:val="left"/>
      <w:pPr>
        <w:ind w:left="1440" w:hanging="720"/>
      </w:pPr>
      <w:rPr>
        <w:rFonts w:ascii="Arial" w:hAnsi="Arial" w:cs="Aria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921792"/>
    <w:multiLevelType w:val="hybridMultilevel"/>
    <w:tmpl w:val="C670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B0A8B"/>
    <w:multiLevelType w:val="hybridMultilevel"/>
    <w:tmpl w:val="5396FC88"/>
    <w:lvl w:ilvl="0" w:tplc="1F1A77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56CD1"/>
    <w:multiLevelType w:val="hybridMultilevel"/>
    <w:tmpl w:val="DEAE751E"/>
    <w:lvl w:ilvl="0" w:tplc="AB1CC4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C366FA"/>
    <w:multiLevelType w:val="hybridMultilevel"/>
    <w:tmpl w:val="97B68C9C"/>
    <w:lvl w:ilvl="0" w:tplc="E9562604">
      <w:start w:val="1"/>
      <w:numFmt w:val="bulle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FE3AA0"/>
    <w:multiLevelType w:val="multilevel"/>
    <w:tmpl w:val="8EBA18B2"/>
    <w:lvl w:ilvl="0">
      <w:start w:val="1"/>
      <w:numFmt w:val="decimal"/>
      <w:lvlText w:val="%1."/>
      <w:lvlJc w:val="left"/>
      <w:pPr>
        <w:tabs>
          <w:tab w:val="num" w:pos="720"/>
        </w:tabs>
        <w:ind w:left="720" w:hanging="360"/>
      </w:pPr>
      <w:rPr>
        <w:rFonts w:hint="default"/>
      </w:rPr>
    </w:lvl>
    <w:lvl w:ilvl="1">
      <w:start w:val="14"/>
      <w:numFmt w:val="decimal"/>
      <w:isLgl/>
      <w:lvlText w:val="%1.%2"/>
      <w:lvlJc w:val="left"/>
      <w:pPr>
        <w:tabs>
          <w:tab w:val="num" w:pos="825"/>
        </w:tabs>
        <w:ind w:left="825" w:hanging="465"/>
      </w:pPr>
      <w:rPr>
        <w:rFonts w:ascii="Arial" w:hAnsi="Arial" w:cs="Symbol" w:hint="default"/>
      </w:rPr>
    </w:lvl>
    <w:lvl w:ilvl="2">
      <w:start w:val="1"/>
      <w:numFmt w:val="decimal"/>
      <w:isLgl/>
      <w:lvlText w:val="%1.%2.%3"/>
      <w:lvlJc w:val="left"/>
      <w:pPr>
        <w:tabs>
          <w:tab w:val="num" w:pos="1080"/>
        </w:tabs>
        <w:ind w:left="1080" w:hanging="720"/>
      </w:pPr>
      <w:rPr>
        <w:rFonts w:ascii="Arial" w:hAnsi="Arial" w:cs="Symbol" w:hint="default"/>
      </w:rPr>
    </w:lvl>
    <w:lvl w:ilvl="3">
      <w:start w:val="1"/>
      <w:numFmt w:val="decimal"/>
      <w:isLgl/>
      <w:lvlText w:val="%1.%2.%3.%4"/>
      <w:lvlJc w:val="left"/>
      <w:pPr>
        <w:tabs>
          <w:tab w:val="num" w:pos="1080"/>
        </w:tabs>
        <w:ind w:left="1080" w:hanging="720"/>
      </w:pPr>
      <w:rPr>
        <w:rFonts w:ascii="Arial" w:hAnsi="Arial" w:cs="Symbol" w:hint="default"/>
      </w:rPr>
    </w:lvl>
    <w:lvl w:ilvl="4">
      <w:start w:val="1"/>
      <w:numFmt w:val="decimal"/>
      <w:isLgl/>
      <w:lvlText w:val="%1.%2.%3.%4.%5"/>
      <w:lvlJc w:val="left"/>
      <w:pPr>
        <w:tabs>
          <w:tab w:val="num" w:pos="1440"/>
        </w:tabs>
        <w:ind w:left="1440" w:hanging="1080"/>
      </w:pPr>
      <w:rPr>
        <w:rFonts w:ascii="Arial" w:hAnsi="Arial" w:cs="Symbol" w:hint="default"/>
      </w:rPr>
    </w:lvl>
    <w:lvl w:ilvl="5">
      <w:start w:val="1"/>
      <w:numFmt w:val="decimal"/>
      <w:isLgl/>
      <w:lvlText w:val="%1.%2.%3.%4.%5.%6"/>
      <w:lvlJc w:val="left"/>
      <w:pPr>
        <w:tabs>
          <w:tab w:val="num" w:pos="1440"/>
        </w:tabs>
        <w:ind w:left="1440" w:hanging="1080"/>
      </w:pPr>
      <w:rPr>
        <w:rFonts w:ascii="Arial" w:hAnsi="Arial" w:cs="Symbol" w:hint="default"/>
      </w:rPr>
    </w:lvl>
    <w:lvl w:ilvl="6">
      <w:start w:val="1"/>
      <w:numFmt w:val="decimal"/>
      <w:isLgl/>
      <w:lvlText w:val="%1.%2.%3.%4.%5.%6.%7"/>
      <w:lvlJc w:val="left"/>
      <w:pPr>
        <w:tabs>
          <w:tab w:val="num" w:pos="1800"/>
        </w:tabs>
        <w:ind w:left="1800" w:hanging="1440"/>
      </w:pPr>
      <w:rPr>
        <w:rFonts w:ascii="Arial" w:hAnsi="Arial" w:cs="Symbol" w:hint="default"/>
      </w:rPr>
    </w:lvl>
    <w:lvl w:ilvl="7">
      <w:start w:val="1"/>
      <w:numFmt w:val="decimal"/>
      <w:isLgl/>
      <w:lvlText w:val="%1.%2.%3.%4.%5.%6.%7.%8"/>
      <w:lvlJc w:val="left"/>
      <w:pPr>
        <w:tabs>
          <w:tab w:val="num" w:pos="1800"/>
        </w:tabs>
        <w:ind w:left="1800" w:hanging="1440"/>
      </w:pPr>
      <w:rPr>
        <w:rFonts w:ascii="Arial" w:hAnsi="Arial" w:cs="Symbol" w:hint="default"/>
      </w:rPr>
    </w:lvl>
    <w:lvl w:ilvl="8">
      <w:start w:val="1"/>
      <w:numFmt w:val="decimal"/>
      <w:isLgl/>
      <w:lvlText w:val="%1.%2.%3.%4.%5.%6.%7.%8.%9"/>
      <w:lvlJc w:val="left"/>
      <w:pPr>
        <w:tabs>
          <w:tab w:val="num" w:pos="2160"/>
        </w:tabs>
        <w:ind w:left="2160" w:hanging="1800"/>
      </w:pPr>
      <w:rPr>
        <w:rFonts w:ascii="Arial" w:hAnsi="Arial" w:cs="Symbol" w:hint="default"/>
      </w:rPr>
    </w:lvl>
  </w:abstractNum>
  <w:abstractNum w:abstractNumId="8">
    <w:nsid w:val="266C3758"/>
    <w:multiLevelType w:val="multilevel"/>
    <w:tmpl w:val="CD468CE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26B6528B"/>
    <w:multiLevelType w:val="hybridMultilevel"/>
    <w:tmpl w:val="DFD8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88090E"/>
    <w:multiLevelType w:val="hybridMultilevel"/>
    <w:tmpl w:val="91503002"/>
    <w:lvl w:ilvl="0" w:tplc="DE26D21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F24532"/>
    <w:multiLevelType w:val="hybridMultilevel"/>
    <w:tmpl w:val="A87C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F25B7"/>
    <w:multiLevelType w:val="hybridMultilevel"/>
    <w:tmpl w:val="2458877E"/>
    <w:lvl w:ilvl="0" w:tplc="0ADE279E">
      <w:start w:val="1"/>
      <w:numFmt w:val="decimal"/>
      <w:lvlText w:val="%1."/>
      <w:lvlJc w:val="left"/>
      <w:pPr>
        <w:ind w:left="1530" w:hanging="360"/>
      </w:pPr>
      <w:rPr>
        <w:rFonts w:hint="default"/>
      </w:rPr>
    </w:lvl>
    <w:lvl w:ilvl="1" w:tplc="0ADE279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A5238B"/>
    <w:multiLevelType w:val="hybridMultilevel"/>
    <w:tmpl w:val="9890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A32E61"/>
    <w:multiLevelType w:val="hybridMultilevel"/>
    <w:tmpl w:val="21D8D924"/>
    <w:lvl w:ilvl="0" w:tplc="FFFFFFFF">
      <w:start w:val="1"/>
      <w:numFmt w:val="lowerLetter"/>
      <w:lvlText w:val="%1."/>
      <w:lvlJc w:val="left"/>
      <w:pPr>
        <w:ind w:left="2160" w:hanging="360"/>
      </w:pPr>
    </w:lvl>
    <w:lvl w:ilvl="1" w:tplc="506826BE">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A377EA8"/>
    <w:multiLevelType w:val="hybridMultilevel"/>
    <w:tmpl w:val="B18CF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2237FF4"/>
    <w:multiLevelType w:val="multilevel"/>
    <w:tmpl w:val="0A88766A"/>
    <w:lvl w:ilvl="0">
      <w:start w:val="1"/>
      <w:numFmt w:val="decimal"/>
      <w:lvlText w:val="%1"/>
      <w:lvlJc w:val="left"/>
      <w:pPr>
        <w:ind w:left="384" w:hanging="384"/>
      </w:pPr>
      <w:rPr>
        <w:rFonts w:hint="default"/>
        <w:color w:val="FFFFFF"/>
      </w:rPr>
    </w:lvl>
    <w:lvl w:ilvl="1">
      <w:start w:val="1"/>
      <w:numFmt w:val="decimal"/>
      <w:lvlText w:val="%1.%2"/>
      <w:lvlJc w:val="left"/>
      <w:pPr>
        <w:ind w:left="9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
    <w:nsid w:val="44094F1D"/>
    <w:multiLevelType w:val="multilevel"/>
    <w:tmpl w:val="CD468CE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443735D0"/>
    <w:multiLevelType w:val="multilevel"/>
    <w:tmpl w:val="8244D008"/>
    <w:lvl w:ilvl="0">
      <w:start w:val="1"/>
      <w:numFmt w:val="decimal"/>
      <w:lvlText w:val="%1"/>
      <w:lvlJc w:val="left"/>
      <w:pPr>
        <w:ind w:left="384" w:hanging="384"/>
      </w:pPr>
      <w:rPr>
        <w:rFonts w:hint="default"/>
        <w:color w:val="FFFFFF"/>
      </w:rPr>
    </w:lvl>
    <w:lvl w:ilvl="1">
      <w:start w:val="6"/>
      <w:numFmt w:val="decimal"/>
      <w:lvlText w:val="%1.%2"/>
      <w:lvlJc w:val="left"/>
      <w:pPr>
        <w:ind w:left="900" w:hanging="720"/>
      </w:pPr>
      <w:rPr>
        <w:rFonts w:hint="default"/>
        <w:color w:val="aut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nsid w:val="48082121"/>
    <w:multiLevelType w:val="multilevel"/>
    <w:tmpl w:val="2F4E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FC6088"/>
    <w:multiLevelType w:val="hybridMultilevel"/>
    <w:tmpl w:val="15B66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533711"/>
    <w:multiLevelType w:val="hybridMultilevel"/>
    <w:tmpl w:val="662C2EBE"/>
    <w:lvl w:ilvl="0" w:tplc="138430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CB61A9"/>
    <w:multiLevelType w:val="hybridMultilevel"/>
    <w:tmpl w:val="87622386"/>
    <w:lvl w:ilvl="0" w:tplc="A45C0DD2">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0FA52AA"/>
    <w:multiLevelType w:val="multilevel"/>
    <w:tmpl w:val="98E2BC74"/>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9036"/>
        </w:tabs>
        <w:ind w:left="903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2">
      <w:start w:val="1"/>
      <w:numFmt w:val="decimal"/>
      <w:pStyle w:val="Heading3"/>
      <w:lvlText w:val="%1.%2.%3"/>
      <w:lvlJc w:val="left"/>
      <w:pPr>
        <w:tabs>
          <w:tab w:val="num" w:pos="10080"/>
        </w:tabs>
        <w:ind w:left="10080" w:hanging="720"/>
      </w:pPr>
      <w:rPr>
        <w:b/>
        <w:i w:val="0"/>
        <w:caps w:val="0"/>
        <w:smallCaps w:val="0"/>
        <w:strike w:val="0"/>
        <w:color w:val="000000"/>
        <w:spacing w:val="0"/>
        <w:w w:val="100"/>
        <w:kern w:val="0"/>
        <w:position w:val="0"/>
        <w:sz w:val="24"/>
        <w:u w:val="none"/>
        <w:em w:val="none"/>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008"/>
        </w:tabs>
        <w:ind w:left="1008" w:hanging="1008"/>
      </w:pPr>
      <w:rPr>
        <w:rFonts w:hint="default"/>
        <w:b/>
        <w:i w:val="0"/>
        <w:sz w:val="24"/>
        <w:szCs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5141023F"/>
    <w:multiLevelType w:val="hybridMultilevel"/>
    <w:tmpl w:val="22E4D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47611B"/>
    <w:multiLevelType w:val="hybridMultilevel"/>
    <w:tmpl w:val="1B58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2D2313"/>
    <w:multiLevelType w:val="hybridMultilevel"/>
    <w:tmpl w:val="0BD8D91A"/>
    <w:lvl w:ilvl="0" w:tplc="3FCAB5E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4D41284"/>
    <w:multiLevelType w:val="hybridMultilevel"/>
    <w:tmpl w:val="E64EC322"/>
    <w:lvl w:ilvl="0" w:tplc="967CA06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9C5595"/>
    <w:multiLevelType w:val="hybridMultilevel"/>
    <w:tmpl w:val="87121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4A733D"/>
    <w:multiLevelType w:val="hybridMultilevel"/>
    <w:tmpl w:val="8ABE299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0514984"/>
    <w:multiLevelType w:val="hybridMultilevel"/>
    <w:tmpl w:val="F9E08DFC"/>
    <w:lvl w:ilvl="0" w:tplc="6AB4DB7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AD788D"/>
    <w:multiLevelType w:val="hybridMultilevel"/>
    <w:tmpl w:val="31D2B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330DFB"/>
    <w:multiLevelType w:val="multilevel"/>
    <w:tmpl w:val="2F1CBC50"/>
    <w:lvl w:ilvl="0">
      <w:start w:val="1"/>
      <w:numFmt w:val="none"/>
      <w:lvlText w:val="1.1.1"/>
      <w:lvlJc w:val="left"/>
      <w:pPr>
        <w:tabs>
          <w:tab w:val="num" w:pos="720"/>
        </w:tabs>
        <w:ind w:left="432" w:hanging="432"/>
      </w:pPr>
      <w:rPr>
        <w:rFonts w:ascii="Times New Roman" w:hAnsi="Times New Roman" w:hint="default"/>
        <w:b/>
        <w:i w:val="0"/>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pStyle w:val="Level5"/>
      <w:lvlText w:val="2.2.2.1.2.5"/>
      <w:lvlJc w:val="left"/>
      <w:pPr>
        <w:tabs>
          <w:tab w:val="num" w:pos="1080"/>
        </w:tabs>
        <w:ind w:left="1008" w:hanging="1008"/>
      </w:pPr>
      <w:rPr>
        <w:rFonts w:hint="default"/>
      </w:rPr>
    </w:lvl>
    <w:lvl w:ilvl="5">
      <w:start w:val="1"/>
      <w:numFmt w:val="none"/>
      <w:pStyle w:val="Level6"/>
      <w:lvlText w:val="2.2.2.1.2.5.5"/>
      <w:lvlJc w:val="left"/>
      <w:pPr>
        <w:tabs>
          <w:tab w:val="num" w:pos="1800"/>
        </w:tabs>
        <w:ind w:left="1152" w:hanging="1152"/>
      </w:pPr>
      <w:rPr>
        <w:rFonts w:hint="default"/>
      </w:rPr>
    </w:lvl>
    <w:lvl w:ilvl="6">
      <w:start w:val="1"/>
      <w:numFmt w:val="decimal"/>
      <w:lvlText w:val="%4%2%3%1....%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numFmt w:val="decimal"/>
      <w:lvlText w:val="%1.%2.%3.%4.%5.%6.%7.%8.%9"/>
      <w:lvlJc w:val="left"/>
      <w:pPr>
        <w:tabs>
          <w:tab w:val="num" w:pos="1584"/>
        </w:tabs>
        <w:ind w:left="1584" w:hanging="1584"/>
      </w:pPr>
      <w:rPr>
        <w:rFonts w:hint="default"/>
      </w:rPr>
    </w:lvl>
  </w:abstractNum>
  <w:abstractNum w:abstractNumId="33">
    <w:nsid w:val="744952F8"/>
    <w:multiLevelType w:val="hybridMultilevel"/>
    <w:tmpl w:val="5834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9B22EF"/>
    <w:multiLevelType w:val="hybridMultilevel"/>
    <w:tmpl w:val="E67250C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5">
    <w:nsid w:val="760C04F2"/>
    <w:multiLevelType w:val="hybridMultilevel"/>
    <w:tmpl w:val="669E2992"/>
    <w:lvl w:ilvl="0" w:tplc="8C6C77C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810F80"/>
    <w:multiLevelType w:val="hybridMultilevel"/>
    <w:tmpl w:val="86C85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114B83"/>
    <w:multiLevelType w:val="hybridMultilevel"/>
    <w:tmpl w:val="252ED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13"/>
  </w:num>
  <w:num w:numId="4">
    <w:abstractNumId w:val="33"/>
  </w:num>
  <w:num w:numId="5">
    <w:abstractNumId w:val="6"/>
  </w:num>
  <w:num w:numId="6">
    <w:abstractNumId w:val="29"/>
  </w:num>
  <w:num w:numId="7">
    <w:abstractNumId w:val="3"/>
  </w:num>
  <w:num w:numId="8">
    <w:abstractNumId w:val="15"/>
  </w:num>
  <w:num w:numId="9">
    <w:abstractNumId w:val="0"/>
  </w:num>
  <w:num w:numId="10">
    <w:abstractNumId w:val="16"/>
  </w:num>
  <w:num w:numId="11">
    <w:abstractNumId w:val="37"/>
  </w:num>
  <w:num w:numId="12">
    <w:abstractNumId w:val="31"/>
  </w:num>
  <w:num w:numId="13">
    <w:abstractNumId w:val="7"/>
  </w:num>
  <w:num w:numId="14">
    <w:abstractNumId w:val="27"/>
  </w:num>
  <w:num w:numId="15">
    <w:abstractNumId w:val="18"/>
  </w:num>
  <w:num w:numId="16">
    <w:abstractNumId w:val="21"/>
  </w:num>
  <w:num w:numId="17">
    <w:abstractNumId w:val="28"/>
  </w:num>
  <w:num w:numId="18">
    <w:abstractNumId w:val="19"/>
  </w:num>
  <w:num w:numId="19">
    <w:abstractNumId w:val="5"/>
  </w:num>
  <w:num w:numId="20">
    <w:abstractNumId w:val="10"/>
  </w:num>
  <w:num w:numId="21">
    <w:abstractNumId w:val="2"/>
  </w:num>
  <w:num w:numId="22">
    <w:abstractNumId w:val="26"/>
  </w:num>
  <w:num w:numId="23">
    <w:abstractNumId w:val="30"/>
  </w:num>
  <w:num w:numId="24">
    <w:abstractNumId w:val="20"/>
  </w:num>
  <w:num w:numId="25">
    <w:abstractNumId w:val="22"/>
  </w:num>
  <w:num w:numId="26">
    <w:abstractNumId w:val="9"/>
  </w:num>
  <w:num w:numId="27">
    <w:abstractNumId w:val="34"/>
  </w:num>
  <w:num w:numId="28">
    <w:abstractNumId w:val="12"/>
  </w:num>
  <w:num w:numId="29">
    <w:abstractNumId w:val="14"/>
  </w:num>
  <w:num w:numId="30">
    <w:abstractNumId w:val="35"/>
  </w:num>
  <w:num w:numId="31">
    <w:abstractNumId w:val="11"/>
  </w:num>
  <w:num w:numId="32">
    <w:abstractNumId w:val="4"/>
  </w:num>
  <w:num w:numId="33">
    <w:abstractNumId w:val="24"/>
  </w:num>
  <w:num w:numId="34">
    <w:abstractNumId w:val="36"/>
  </w:num>
  <w:num w:numId="35">
    <w:abstractNumId w:val="1"/>
  </w:num>
  <w:num w:numId="36">
    <w:abstractNumId w:val="25"/>
  </w:num>
  <w:num w:numId="37">
    <w:abstractNumId w:val="8"/>
  </w:num>
  <w:num w:numId="38">
    <w:abstractNumId w:val="1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hideSpellingErrors/>
  <w:hideGrammaticalErrors/>
  <w:proofState w:spelling="clean" w:grammar="clean"/>
  <w:defaultTabStop w:val="720"/>
  <w:characterSpacingControl w:val="doNotCompress"/>
  <w:hdrShapeDefaults>
    <o:shapedefaults v:ext="edit" spidmax="6146"/>
    <o:shapelayout v:ext="edit">
      <o:idmap v:ext="edit" data="4"/>
      <o:rules v:ext="edit">
        <o:r id="V:Rule4" type="connector" idref="#AutoShape 4"/>
        <o:r id="V:Rule5" type="connector" idref="#_x0000_s4099"/>
        <o:r id="V:Rule6" type="connector" idref="#_x0000_s4097"/>
      </o:rules>
    </o:shapelayout>
  </w:hdrShapeDefaults>
  <w:footnotePr>
    <w:footnote w:id="-1"/>
    <w:footnote w:id="0"/>
  </w:footnotePr>
  <w:endnotePr>
    <w:endnote w:id="-1"/>
    <w:endnote w:id="0"/>
  </w:endnotePr>
  <w:compat/>
  <w:rsids>
    <w:rsidRoot w:val="00FB3165"/>
    <w:rsid w:val="0000148F"/>
    <w:rsid w:val="000015FE"/>
    <w:rsid w:val="00004197"/>
    <w:rsid w:val="000054BA"/>
    <w:rsid w:val="00011882"/>
    <w:rsid w:val="0001382A"/>
    <w:rsid w:val="00014996"/>
    <w:rsid w:val="00014B06"/>
    <w:rsid w:val="00015051"/>
    <w:rsid w:val="00015A51"/>
    <w:rsid w:val="00016AE6"/>
    <w:rsid w:val="00017E44"/>
    <w:rsid w:val="0002295B"/>
    <w:rsid w:val="00023317"/>
    <w:rsid w:val="000242E5"/>
    <w:rsid w:val="00026847"/>
    <w:rsid w:val="00026E9A"/>
    <w:rsid w:val="00031FCE"/>
    <w:rsid w:val="000405DE"/>
    <w:rsid w:val="00041E86"/>
    <w:rsid w:val="000439B2"/>
    <w:rsid w:val="000504E5"/>
    <w:rsid w:val="000546DB"/>
    <w:rsid w:val="000547AB"/>
    <w:rsid w:val="000558FF"/>
    <w:rsid w:val="00056580"/>
    <w:rsid w:val="00063A9C"/>
    <w:rsid w:val="00065730"/>
    <w:rsid w:val="00066EB0"/>
    <w:rsid w:val="000675D6"/>
    <w:rsid w:val="00067780"/>
    <w:rsid w:val="00072B85"/>
    <w:rsid w:val="00072EC7"/>
    <w:rsid w:val="00076EFE"/>
    <w:rsid w:val="00077A34"/>
    <w:rsid w:val="0008143F"/>
    <w:rsid w:val="0008614E"/>
    <w:rsid w:val="00091DC0"/>
    <w:rsid w:val="0009657A"/>
    <w:rsid w:val="00096F84"/>
    <w:rsid w:val="000A1637"/>
    <w:rsid w:val="000A2D49"/>
    <w:rsid w:val="000A3115"/>
    <w:rsid w:val="000A4CD7"/>
    <w:rsid w:val="000A6939"/>
    <w:rsid w:val="000B1871"/>
    <w:rsid w:val="000B1AF9"/>
    <w:rsid w:val="000B28C9"/>
    <w:rsid w:val="000B2F31"/>
    <w:rsid w:val="000B6424"/>
    <w:rsid w:val="000B6D81"/>
    <w:rsid w:val="000C513A"/>
    <w:rsid w:val="000C52A6"/>
    <w:rsid w:val="000C6F03"/>
    <w:rsid w:val="000D0AEB"/>
    <w:rsid w:val="000D111D"/>
    <w:rsid w:val="000E1717"/>
    <w:rsid w:val="000F0133"/>
    <w:rsid w:val="00100CA1"/>
    <w:rsid w:val="001018C6"/>
    <w:rsid w:val="00102B4E"/>
    <w:rsid w:val="00103D0B"/>
    <w:rsid w:val="00106BB0"/>
    <w:rsid w:val="00107F42"/>
    <w:rsid w:val="00113EA3"/>
    <w:rsid w:val="0011743B"/>
    <w:rsid w:val="00133987"/>
    <w:rsid w:val="00135EA7"/>
    <w:rsid w:val="0014376E"/>
    <w:rsid w:val="0014724C"/>
    <w:rsid w:val="001553DB"/>
    <w:rsid w:val="0015694A"/>
    <w:rsid w:val="00171E76"/>
    <w:rsid w:val="001722FD"/>
    <w:rsid w:val="00173508"/>
    <w:rsid w:val="00177B15"/>
    <w:rsid w:val="001810E8"/>
    <w:rsid w:val="00182468"/>
    <w:rsid w:val="001848B0"/>
    <w:rsid w:val="00191F0B"/>
    <w:rsid w:val="001A6305"/>
    <w:rsid w:val="001B3C85"/>
    <w:rsid w:val="001B72A0"/>
    <w:rsid w:val="001C1A22"/>
    <w:rsid w:val="001C2051"/>
    <w:rsid w:val="001C244F"/>
    <w:rsid w:val="001C3969"/>
    <w:rsid w:val="001C65AF"/>
    <w:rsid w:val="001D0A74"/>
    <w:rsid w:val="001D6575"/>
    <w:rsid w:val="001E2C23"/>
    <w:rsid w:val="001E3153"/>
    <w:rsid w:val="001E322B"/>
    <w:rsid w:val="001E3EEC"/>
    <w:rsid w:val="001E6BB7"/>
    <w:rsid w:val="001E7EB3"/>
    <w:rsid w:val="001F30F5"/>
    <w:rsid w:val="001F3106"/>
    <w:rsid w:val="001F5613"/>
    <w:rsid w:val="001F5EBF"/>
    <w:rsid w:val="001F6B4D"/>
    <w:rsid w:val="001F74D4"/>
    <w:rsid w:val="0020025C"/>
    <w:rsid w:val="00201503"/>
    <w:rsid w:val="002028C7"/>
    <w:rsid w:val="00203491"/>
    <w:rsid w:val="00204C35"/>
    <w:rsid w:val="0020535F"/>
    <w:rsid w:val="00210D32"/>
    <w:rsid w:val="00212200"/>
    <w:rsid w:val="002130CC"/>
    <w:rsid w:val="002150ED"/>
    <w:rsid w:val="00215502"/>
    <w:rsid w:val="002221B9"/>
    <w:rsid w:val="00224D71"/>
    <w:rsid w:val="00234BB5"/>
    <w:rsid w:val="002379A5"/>
    <w:rsid w:val="00244D18"/>
    <w:rsid w:val="00245878"/>
    <w:rsid w:val="00247DA1"/>
    <w:rsid w:val="00251219"/>
    <w:rsid w:val="002519EB"/>
    <w:rsid w:val="0025689A"/>
    <w:rsid w:val="0025774C"/>
    <w:rsid w:val="00260365"/>
    <w:rsid w:val="00260615"/>
    <w:rsid w:val="00266046"/>
    <w:rsid w:val="00267D5E"/>
    <w:rsid w:val="00272666"/>
    <w:rsid w:val="00272CB0"/>
    <w:rsid w:val="002804AF"/>
    <w:rsid w:val="0028295C"/>
    <w:rsid w:val="002834DF"/>
    <w:rsid w:val="002846A1"/>
    <w:rsid w:val="00285BBF"/>
    <w:rsid w:val="00286BB6"/>
    <w:rsid w:val="0028733B"/>
    <w:rsid w:val="0028786D"/>
    <w:rsid w:val="002908FC"/>
    <w:rsid w:val="00290EED"/>
    <w:rsid w:val="002942C9"/>
    <w:rsid w:val="002A037F"/>
    <w:rsid w:val="002A2D23"/>
    <w:rsid w:val="002A3E53"/>
    <w:rsid w:val="002A43D2"/>
    <w:rsid w:val="002B472B"/>
    <w:rsid w:val="002B4D64"/>
    <w:rsid w:val="002C2387"/>
    <w:rsid w:val="002D6142"/>
    <w:rsid w:val="002D653A"/>
    <w:rsid w:val="002D7BB2"/>
    <w:rsid w:val="002E5E52"/>
    <w:rsid w:val="002E6786"/>
    <w:rsid w:val="00301AA9"/>
    <w:rsid w:val="00302E6E"/>
    <w:rsid w:val="00302F17"/>
    <w:rsid w:val="0031378A"/>
    <w:rsid w:val="00314511"/>
    <w:rsid w:val="00314936"/>
    <w:rsid w:val="00315142"/>
    <w:rsid w:val="003231C2"/>
    <w:rsid w:val="00323A4D"/>
    <w:rsid w:val="0033281C"/>
    <w:rsid w:val="00332D4F"/>
    <w:rsid w:val="00333C7B"/>
    <w:rsid w:val="00335823"/>
    <w:rsid w:val="00336206"/>
    <w:rsid w:val="00342750"/>
    <w:rsid w:val="00345219"/>
    <w:rsid w:val="00345308"/>
    <w:rsid w:val="00346098"/>
    <w:rsid w:val="00350DBC"/>
    <w:rsid w:val="00357BD0"/>
    <w:rsid w:val="00357E3F"/>
    <w:rsid w:val="00363AEF"/>
    <w:rsid w:val="00364A9E"/>
    <w:rsid w:val="00365F5A"/>
    <w:rsid w:val="003678C3"/>
    <w:rsid w:val="00371548"/>
    <w:rsid w:val="0037642A"/>
    <w:rsid w:val="003802B2"/>
    <w:rsid w:val="003802D1"/>
    <w:rsid w:val="0038221D"/>
    <w:rsid w:val="003851CD"/>
    <w:rsid w:val="003919B7"/>
    <w:rsid w:val="00392EC3"/>
    <w:rsid w:val="003959D8"/>
    <w:rsid w:val="00396FFB"/>
    <w:rsid w:val="003A05C8"/>
    <w:rsid w:val="003A06F9"/>
    <w:rsid w:val="003A1F9B"/>
    <w:rsid w:val="003A7378"/>
    <w:rsid w:val="003A74E9"/>
    <w:rsid w:val="003B119E"/>
    <w:rsid w:val="003B7D16"/>
    <w:rsid w:val="003C2139"/>
    <w:rsid w:val="003C505D"/>
    <w:rsid w:val="003D70DB"/>
    <w:rsid w:val="003E104F"/>
    <w:rsid w:val="003E1556"/>
    <w:rsid w:val="003E3B15"/>
    <w:rsid w:val="003E3C54"/>
    <w:rsid w:val="003E7538"/>
    <w:rsid w:val="003F098F"/>
    <w:rsid w:val="003F0A4D"/>
    <w:rsid w:val="00400C30"/>
    <w:rsid w:val="004028AC"/>
    <w:rsid w:val="00403463"/>
    <w:rsid w:val="00404FBD"/>
    <w:rsid w:val="00405027"/>
    <w:rsid w:val="004117AC"/>
    <w:rsid w:val="0041244B"/>
    <w:rsid w:val="00415CD2"/>
    <w:rsid w:val="0042078E"/>
    <w:rsid w:val="004235DA"/>
    <w:rsid w:val="00435283"/>
    <w:rsid w:val="00440BCE"/>
    <w:rsid w:val="00444E05"/>
    <w:rsid w:val="004570B3"/>
    <w:rsid w:val="004610EE"/>
    <w:rsid w:val="00461FAA"/>
    <w:rsid w:val="00462AD0"/>
    <w:rsid w:val="00463824"/>
    <w:rsid w:val="00463EB4"/>
    <w:rsid w:val="0046460B"/>
    <w:rsid w:val="0046576E"/>
    <w:rsid w:val="00467DCB"/>
    <w:rsid w:val="00470736"/>
    <w:rsid w:val="00472394"/>
    <w:rsid w:val="00472C9E"/>
    <w:rsid w:val="004735BA"/>
    <w:rsid w:val="004740EB"/>
    <w:rsid w:val="00476146"/>
    <w:rsid w:val="0048050C"/>
    <w:rsid w:val="00480590"/>
    <w:rsid w:val="00483415"/>
    <w:rsid w:val="00483B68"/>
    <w:rsid w:val="00485A1B"/>
    <w:rsid w:val="00487787"/>
    <w:rsid w:val="004A15FA"/>
    <w:rsid w:val="004A1E45"/>
    <w:rsid w:val="004A1F52"/>
    <w:rsid w:val="004A1F63"/>
    <w:rsid w:val="004A235A"/>
    <w:rsid w:val="004A2375"/>
    <w:rsid w:val="004A4CA5"/>
    <w:rsid w:val="004A6467"/>
    <w:rsid w:val="004B40ED"/>
    <w:rsid w:val="004B44A5"/>
    <w:rsid w:val="004B4FC5"/>
    <w:rsid w:val="004C15DC"/>
    <w:rsid w:val="004C4D53"/>
    <w:rsid w:val="004C59EF"/>
    <w:rsid w:val="004D0B2E"/>
    <w:rsid w:val="004D3792"/>
    <w:rsid w:val="004D56AB"/>
    <w:rsid w:val="004E2874"/>
    <w:rsid w:val="004E2FB9"/>
    <w:rsid w:val="004E6C56"/>
    <w:rsid w:val="004F0837"/>
    <w:rsid w:val="004F4853"/>
    <w:rsid w:val="00505ED3"/>
    <w:rsid w:val="00506523"/>
    <w:rsid w:val="00511D85"/>
    <w:rsid w:val="00513338"/>
    <w:rsid w:val="0052143D"/>
    <w:rsid w:val="00521B39"/>
    <w:rsid w:val="00522788"/>
    <w:rsid w:val="0052458B"/>
    <w:rsid w:val="00533012"/>
    <w:rsid w:val="0053417E"/>
    <w:rsid w:val="00540171"/>
    <w:rsid w:val="00544722"/>
    <w:rsid w:val="005478F7"/>
    <w:rsid w:val="005500A2"/>
    <w:rsid w:val="005530CE"/>
    <w:rsid w:val="00553122"/>
    <w:rsid w:val="00554C74"/>
    <w:rsid w:val="00555EBB"/>
    <w:rsid w:val="00556D2D"/>
    <w:rsid w:val="00556F11"/>
    <w:rsid w:val="0056060B"/>
    <w:rsid w:val="00561D8C"/>
    <w:rsid w:val="005643F2"/>
    <w:rsid w:val="00566573"/>
    <w:rsid w:val="005725AF"/>
    <w:rsid w:val="00574EFF"/>
    <w:rsid w:val="00574F9A"/>
    <w:rsid w:val="00577012"/>
    <w:rsid w:val="00577FD4"/>
    <w:rsid w:val="00580ADF"/>
    <w:rsid w:val="00582A9F"/>
    <w:rsid w:val="00585F5F"/>
    <w:rsid w:val="0058701A"/>
    <w:rsid w:val="00592DF3"/>
    <w:rsid w:val="00596F9C"/>
    <w:rsid w:val="005A691B"/>
    <w:rsid w:val="005A6B24"/>
    <w:rsid w:val="005B2980"/>
    <w:rsid w:val="005C2925"/>
    <w:rsid w:val="005D66D5"/>
    <w:rsid w:val="005E0C2C"/>
    <w:rsid w:val="005E138F"/>
    <w:rsid w:val="005E2805"/>
    <w:rsid w:val="005E666D"/>
    <w:rsid w:val="005F0113"/>
    <w:rsid w:val="005F0CB0"/>
    <w:rsid w:val="005F0D0D"/>
    <w:rsid w:val="005F2108"/>
    <w:rsid w:val="005F73A5"/>
    <w:rsid w:val="005F7903"/>
    <w:rsid w:val="006028BF"/>
    <w:rsid w:val="0060646D"/>
    <w:rsid w:val="0061036F"/>
    <w:rsid w:val="00611F5A"/>
    <w:rsid w:val="006154B1"/>
    <w:rsid w:val="00615607"/>
    <w:rsid w:val="0063254B"/>
    <w:rsid w:val="00642CD6"/>
    <w:rsid w:val="006458C4"/>
    <w:rsid w:val="00645A07"/>
    <w:rsid w:val="00646A47"/>
    <w:rsid w:val="00652335"/>
    <w:rsid w:val="00652F56"/>
    <w:rsid w:val="00655FCF"/>
    <w:rsid w:val="00657099"/>
    <w:rsid w:val="00657858"/>
    <w:rsid w:val="00660EA9"/>
    <w:rsid w:val="00662A07"/>
    <w:rsid w:val="00663B31"/>
    <w:rsid w:val="00670518"/>
    <w:rsid w:val="00670845"/>
    <w:rsid w:val="00676088"/>
    <w:rsid w:val="006764A7"/>
    <w:rsid w:val="00676A48"/>
    <w:rsid w:val="00683191"/>
    <w:rsid w:val="006846A3"/>
    <w:rsid w:val="00686AE9"/>
    <w:rsid w:val="00687CF0"/>
    <w:rsid w:val="00687ED5"/>
    <w:rsid w:val="00693996"/>
    <w:rsid w:val="006A0370"/>
    <w:rsid w:val="006A10B4"/>
    <w:rsid w:val="006A199B"/>
    <w:rsid w:val="006A2530"/>
    <w:rsid w:val="006A49C3"/>
    <w:rsid w:val="006A7B26"/>
    <w:rsid w:val="006C3318"/>
    <w:rsid w:val="006C72E9"/>
    <w:rsid w:val="006D4847"/>
    <w:rsid w:val="007011C1"/>
    <w:rsid w:val="00702C3D"/>
    <w:rsid w:val="007040DB"/>
    <w:rsid w:val="00706188"/>
    <w:rsid w:val="00707E7B"/>
    <w:rsid w:val="007105D1"/>
    <w:rsid w:val="00714AAA"/>
    <w:rsid w:val="007153BA"/>
    <w:rsid w:val="0071611E"/>
    <w:rsid w:val="007235F2"/>
    <w:rsid w:val="00724419"/>
    <w:rsid w:val="00725F83"/>
    <w:rsid w:val="00726130"/>
    <w:rsid w:val="00726D34"/>
    <w:rsid w:val="00733DBF"/>
    <w:rsid w:val="00734DBD"/>
    <w:rsid w:val="00742C3F"/>
    <w:rsid w:val="00747999"/>
    <w:rsid w:val="00750A86"/>
    <w:rsid w:val="00750AC8"/>
    <w:rsid w:val="00761594"/>
    <w:rsid w:val="00762A4A"/>
    <w:rsid w:val="00764BD6"/>
    <w:rsid w:val="00764D0F"/>
    <w:rsid w:val="007663B9"/>
    <w:rsid w:val="00775D50"/>
    <w:rsid w:val="007804EF"/>
    <w:rsid w:val="00781A1A"/>
    <w:rsid w:val="0078274B"/>
    <w:rsid w:val="00784FF4"/>
    <w:rsid w:val="00786FEA"/>
    <w:rsid w:val="007908AD"/>
    <w:rsid w:val="00790CB0"/>
    <w:rsid w:val="00791C84"/>
    <w:rsid w:val="00794F18"/>
    <w:rsid w:val="00795DD1"/>
    <w:rsid w:val="00797D96"/>
    <w:rsid w:val="007A480F"/>
    <w:rsid w:val="007A7048"/>
    <w:rsid w:val="007B0702"/>
    <w:rsid w:val="007B2A7E"/>
    <w:rsid w:val="007B64A8"/>
    <w:rsid w:val="007C09B8"/>
    <w:rsid w:val="007C70D6"/>
    <w:rsid w:val="007D3139"/>
    <w:rsid w:val="007E3134"/>
    <w:rsid w:val="007E3424"/>
    <w:rsid w:val="007E7A06"/>
    <w:rsid w:val="007F038D"/>
    <w:rsid w:val="007F0D74"/>
    <w:rsid w:val="007F7805"/>
    <w:rsid w:val="00801B61"/>
    <w:rsid w:val="00805842"/>
    <w:rsid w:val="00807312"/>
    <w:rsid w:val="008120DD"/>
    <w:rsid w:val="00812534"/>
    <w:rsid w:val="0082210D"/>
    <w:rsid w:val="00822B8F"/>
    <w:rsid w:val="0082483E"/>
    <w:rsid w:val="008273E9"/>
    <w:rsid w:val="0083047F"/>
    <w:rsid w:val="0083585B"/>
    <w:rsid w:val="00835AEE"/>
    <w:rsid w:val="00840237"/>
    <w:rsid w:val="0084066B"/>
    <w:rsid w:val="0084575F"/>
    <w:rsid w:val="008507D8"/>
    <w:rsid w:val="00870E76"/>
    <w:rsid w:val="008728D5"/>
    <w:rsid w:val="008730F2"/>
    <w:rsid w:val="00887F22"/>
    <w:rsid w:val="008903CD"/>
    <w:rsid w:val="00891F13"/>
    <w:rsid w:val="00892E63"/>
    <w:rsid w:val="008A0C29"/>
    <w:rsid w:val="008A1CEC"/>
    <w:rsid w:val="008A572B"/>
    <w:rsid w:val="008A5D95"/>
    <w:rsid w:val="008B0C96"/>
    <w:rsid w:val="008B2711"/>
    <w:rsid w:val="008B2CAC"/>
    <w:rsid w:val="008B441A"/>
    <w:rsid w:val="008B5664"/>
    <w:rsid w:val="008B5762"/>
    <w:rsid w:val="008C0447"/>
    <w:rsid w:val="008C4933"/>
    <w:rsid w:val="008C501A"/>
    <w:rsid w:val="008C6287"/>
    <w:rsid w:val="008D1B28"/>
    <w:rsid w:val="008D4FE4"/>
    <w:rsid w:val="008D5BAD"/>
    <w:rsid w:val="008D6D93"/>
    <w:rsid w:val="008D74AD"/>
    <w:rsid w:val="008E0C13"/>
    <w:rsid w:val="008E20F3"/>
    <w:rsid w:val="008E3290"/>
    <w:rsid w:val="008E4DD2"/>
    <w:rsid w:val="008F1F62"/>
    <w:rsid w:val="008F66E7"/>
    <w:rsid w:val="008F6EE2"/>
    <w:rsid w:val="008F6FAE"/>
    <w:rsid w:val="008F7E01"/>
    <w:rsid w:val="009012BC"/>
    <w:rsid w:val="009036AD"/>
    <w:rsid w:val="00903C68"/>
    <w:rsid w:val="00903FF3"/>
    <w:rsid w:val="009070E0"/>
    <w:rsid w:val="00911E98"/>
    <w:rsid w:val="009135B7"/>
    <w:rsid w:val="009214EC"/>
    <w:rsid w:val="00923995"/>
    <w:rsid w:val="00931AB8"/>
    <w:rsid w:val="009351C2"/>
    <w:rsid w:val="009373DB"/>
    <w:rsid w:val="00946661"/>
    <w:rsid w:val="009479B0"/>
    <w:rsid w:val="0095292B"/>
    <w:rsid w:val="00955C8C"/>
    <w:rsid w:val="00956AB1"/>
    <w:rsid w:val="00957C2B"/>
    <w:rsid w:val="009604FE"/>
    <w:rsid w:val="00973678"/>
    <w:rsid w:val="009808B5"/>
    <w:rsid w:val="009815F4"/>
    <w:rsid w:val="00982A56"/>
    <w:rsid w:val="009859B5"/>
    <w:rsid w:val="00986EFF"/>
    <w:rsid w:val="0098737D"/>
    <w:rsid w:val="009A02F3"/>
    <w:rsid w:val="009A3BB4"/>
    <w:rsid w:val="009A4DA7"/>
    <w:rsid w:val="009A6410"/>
    <w:rsid w:val="009A72F2"/>
    <w:rsid w:val="009B5695"/>
    <w:rsid w:val="009B5C17"/>
    <w:rsid w:val="009B74DD"/>
    <w:rsid w:val="009C1051"/>
    <w:rsid w:val="009C64FC"/>
    <w:rsid w:val="009D3534"/>
    <w:rsid w:val="009E0DD9"/>
    <w:rsid w:val="009E497B"/>
    <w:rsid w:val="009F323E"/>
    <w:rsid w:val="009F51CB"/>
    <w:rsid w:val="009F6A63"/>
    <w:rsid w:val="009F73C0"/>
    <w:rsid w:val="00A06AA0"/>
    <w:rsid w:val="00A06C48"/>
    <w:rsid w:val="00A14ACB"/>
    <w:rsid w:val="00A2222B"/>
    <w:rsid w:val="00A22764"/>
    <w:rsid w:val="00A2282D"/>
    <w:rsid w:val="00A27592"/>
    <w:rsid w:val="00A34F1F"/>
    <w:rsid w:val="00A46211"/>
    <w:rsid w:val="00A467EF"/>
    <w:rsid w:val="00A536B3"/>
    <w:rsid w:val="00A571E2"/>
    <w:rsid w:val="00A602EA"/>
    <w:rsid w:val="00A60869"/>
    <w:rsid w:val="00A67819"/>
    <w:rsid w:val="00A73B49"/>
    <w:rsid w:val="00A74D79"/>
    <w:rsid w:val="00A75A0B"/>
    <w:rsid w:val="00A75F9A"/>
    <w:rsid w:val="00A76B2E"/>
    <w:rsid w:val="00A77B61"/>
    <w:rsid w:val="00A77B75"/>
    <w:rsid w:val="00A8494F"/>
    <w:rsid w:val="00A84F4E"/>
    <w:rsid w:val="00A85469"/>
    <w:rsid w:val="00A854F6"/>
    <w:rsid w:val="00A87D37"/>
    <w:rsid w:val="00A93151"/>
    <w:rsid w:val="00A93822"/>
    <w:rsid w:val="00A97AB6"/>
    <w:rsid w:val="00AA49FB"/>
    <w:rsid w:val="00AC0109"/>
    <w:rsid w:val="00AC3474"/>
    <w:rsid w:val="00AC421F"/>
    <w:rsid w:val="00AC47C8"/>
    <w:rsid w:val="00AD384C"/>
    <w:rsid w:val="00AD6FFB"/>
    <w:rsid w:val="00AE13E2"/>
    <w:rsid w:val="00AF014F"/>
    <w:rsid w:val="00AF21F9"/>
    <w:rsid w:val="00AF266D"/>
    <w:rsid w:val="00AF3445"/>
    <w:rsid w:val="00AF4F7E"/>
    <w:rsid w:val="00B0277A"/>
    <w:rsid w:val="00B03CF6"/>
    <w:rsid w:val="00B04792"/>
    <w:rsid w:val="00B05382"/>
    <w:rsid w:val="00B063F3"/>
    <w:rsid w:val="00B1119B"/>
    <w:rsid w:val="00B1655C"/>
    <w:rsid w:val="00B22EEB"/>
    <w:rsid w:val="00B24243"/>
    <w:rsid w:val="00B272D4"/>
    <w:rsid w:val="00B32650"/>
    <w:rsid w:val="00B32782"/>
    <w:rsid w:val="00B32A51"/>
    <w:rsid w:val="00B460D6"/>
    <w:rsid w:val="00B474BB"/>
    <w:rsid w:val="00B51788"/>
    <w:rsid w:val="00B5186A"/>
    <w:rsid w:val="00B6511B"/>
    <w:rsid w:val="00B66F5A"/>
    <w:rsid w:val="00B67099"/>
    <w:rsid w:val="00B817F3"/>
    <w:rsid w:val="00B83877"/>
    <w:rsid w:val="00B868BE"/>
    <w:rsid w:val="00B90E32"/>
    <w:rsid w:val="00B940C4"/>
    <w:rsid w:val="00B95130"/>
    <w:rsid w:val="00B97FEA"/>
    <w:rsid w:val="00BA3153"/>
    <w:rsid w:val="00BA61B7"/>
    <w:rsid w:val="00BA6BA7"/>
    <w:rsid w:val="00BB063A"/>
    <w:rsid w:val="00BB0A96"/>
    <w:rsid w:val="00BB1F3E"/>
    <w:rsid w:val="00BB3264"/>
    <w:rsid w:val="00BB345C"/>
    <w:rsid w:val="00BB62F1"/>
    <w:rsid w:val="00BB6C03"/>
    <w:rsid w:val="00BD1A1E"/>
    <w:rsid w:val="00BD3677"/>
    <w:rsid w:val="00BD4AEE"/>
    <w:rsid w:val="00BD7552"/>
    <w:rsid w:val="00BE0C78"/>
    <w:rsid w:val="00C06F01"/>
    <w:rsid w:val="00C10243"/>
    <w:rsid w:val="00C102FB"/>
    <w:rsid w:val="00C112AF"/>
    <w:rsid w:val="00C21776"/>
    <w:rsid w:val="00C26E70"/>
    <w:rsid w:val="00C30443"/>
    <w:rsid w:val="00C3232C"/>
    <w:rsid w:val="00C32AB7"/>
    <w:rsid w:val="00C530FE"/>
    <w:rsid w:val="00C56102"/>
    <w:rsid w:val="00C60CF4"/>
    <w:rsid w:val="00C610E6"/>
    <w:rsid w:val="00C66C59"/>
    <w:rsid w:val="00C7024F"/>
    <w:rsid w:val="00C75D5F"/>
    <w:rsid w:val="00C76964"/>
    <w:rsid w:val="00C81BEB"/>
    <w:rsid w:val="00C833D9"/>
    <w:rsid w:val="00C84C2F"/>
    <w:rsid w:val="00C90844"/>
    <w:rsid w:val="00C9293B"/>
    <w:rsid w:val="00C92D8E"/>
    <w:rsid w:val="00C93E5B"/>
    <w:rsid w:val="00C971EF"/>
    <w:rsid w:val="00CA2050"/>
    <w:rsid w:val="00CA443A"/>
    <w:rsid w:val="00CA7E02"/>
    <w:rsid w:val="00CB31DD"/>
    <w:rsid w:val="00CB5BB2"/>
    <w:rsid w:val="00CC2620"/>
    <w:rsid w:val="00CC56F7"/>
    <w:rsid w:val="00CC6286"/>
    <w:rsid w:val="00CC62FC"/>
    <w:rsid w:val="00CD0543"/>
    <w:rsid w:val="00CD0BAB"/>
    <w:rsid w:val="00CD2E62"/>
    <w:rsid w:val="00CD45C8"/>
    <w:rsid w:val="00CE17D1"/>
    <w:rsid w:val="00CF055E"/>
    <w:rsid w:val="00CF46D4"/>
    <w:rsid w:val="00CF5028"/>
    <w:rsid w:val="00D0669A"/>
    <w:rsid w:val="00D073BA"/>
    <w:rsid w:val="00D078B8"/>
    <w:rsid w:val="00D11A08"/>
    <w:rsid w:val="00D13060"/>
    <w:rsid w:val="00D1526D"/>
    <w:rsid w:val="00D17F48"/>
    <w:rsid w:val="00D258E2"/>
    <w:rsid w:val="00D2692A"/>
    <w:rsid w:val="00D31A75"/>
    <w:rsid w:val="00D3385B"/>
    <w:rsid w:val="00D36024"/>
    <w:rsid w:val="00D44E09"/>
    <w:rsid w:val="00D55E2C"/>
    <w:rsid w:val="00D56B6B"/>
    <w:rsid w:val="00D621D3"/>
    <w:rsid w:val="00D634B1"/>
    <w:rsid w:val="00D63B53"/>
    <w:rsid w:val="00D64CA0"/>
    <w:rsid w:val="00D66157"/>
    <w:rsid w:val="00D664D8"/>
    <w:rsid w:val="00D70AE3"/>
    <w:rsid w:val="00D75A91"/>
    <w:rsid w:val="00D8321D"/>
    <w:rsid w:val="00D85BF8"/>
    <w:rsid w:val="00D86DC7"/>
    <w:rsid w:val="00D9013F"/>
    <w:rsid w:val="00D975FA"/>
    <w:rsid w:val="00DA03D5"/>
    <w:rsid w:val="00DA483F"/>
    <w:rsid w:val="00DA7089"/>
    <w:rsid w:val="00DB12E3"/>
    <w:rsid w:val="00DB12E4"/>
    <w:rsid w:val="00DB361F"/>
    <w:rsid w:val="00DB482C"/>
    <w:rsid w:val="00DB4900"/>
    <w:rsid w:val="00DC0A20"/>
    <w:rsid w:val="00DC139C"/>
    <w:rsid w:val="00DC53A9"/>
    <w:rsid w:val="00DC7F5F"/>
    <w:rsid w:val="00DD043B"/>
    <w:rsid w:val="00DD7B31"/>
    <w:rsid w:val="00DE3D44"/>
    <w:rsid w:val="00DE6D66"/>
    <w:rsid w:val="00DE6DB7"/>
    <w:rsid w:val="00DF5076"/>
    <w:rsid w:val="00E00FA9"/>
    <w:rsid w:val="00E020B3"/>
    <w:rsid w:val="00E0256C"/>
    <w:rsid w:val="00E04587"/>
    <w:rsid w:val="00E04657"/>
    <w:rsid w:val="00E07973"/>
    <w:rsid w:val="00E106B3"/>
    <w:rsid w:val="00E12AAC"/>
    <w:rsid w:val="00E138CB"/>
    <w:rsid w:val="00E209D9"/>
    <w:rsid w:val="00E2282D"/>
    <w:rsid w:val="00E25142"/>
    <w:rsid w:val="00E3190B"/>
    <w:rsid w:val="00E434C9"/>
    <w:rsid w:val="00E44E33"/>
    <w:rsid w:val="00E46F3A"/>
    <w:rsid w:val="00E54DB5"/>
    <w:rsid w:val="00E56BF4"/>
    <w:rsid w:val="00E62943"/>
    <w:rsid w:val="00E66CC3"/>
    <w:rsid w:val="00E74FC1"/>
    <w:rsid w:val="00E77C4D"/>
    <w:rsid w:val="00E80A80"/>
    <w:rsid w:val="00E82CB9"/>
    <w:rsid w:val="00E84359"/>
    <w:rsid w:val="00E918DF"/>
    <w:rsid w:val="00E92B6F"/>
    <w:rsid w:val="00E94B41"/>
    <w:rsid w:val="00E95A4B"/>
    <w:rsid w:val="00E95C16"/>
    <w:rsid w:val="00EA16DA"/>
    <w:rsid w:val="00EA2D2C"/>
    <w:rsid w:val="00EB3283"/>
    <w:rsid w:val="00EB6AD2"/>
    <w:rsid w:val="00EC0075"/>
    <w:rsid w:val="00EC3B95"/>
    <w:rsid w:val="00EC4577"/>
    <w:rsid w:val="00EC4927"/>
    <w:rsid w:val="00EC579F"/>
    <w:rsid w:val="00ED03FF"/>
    <w:rsid w:val="00ED1254"/>
    <w:rsid w:val="00ED23C2"/>
    <w:rsid w:val="00ED3B60"/>
    <w:rsid w:val="00ED4E78"/>
    <w:rsid w:val="00ED7C4A"/>
    <w:rsid w:val="00EE088C"/>
    <w:rsid w:val="00EE1D59"/>
    <w:rsid w:val="00EE5F2C"/>
    <w:rsid w:val="00EE64BB"/>
    <w:rsid w:val="00EE7F7E"/>
    <w:rsid w:val="00EF11B0"/>
    <w:rsid w:val="00F02645"/>
    <w:rsid w:val="00F13301"/>
    <w:rsid w:val="00F13B5A"/>
    <w:rsid w:val="00F13C09"/>
    <w:rsid w:val="00F1720E"/>
    <w:rsid w:val="00F17FFB"/>
    <w:rsid w:val="00F233E3"/>
    <w:rsid w:val="00F3400F"/>
    <w:rsid w:val="00F376BA"/>
    <w:rsid w:val="00F4053B"/>
    <w:rsid w:val="00F43B05"/>
    <w:rsid w:val="00F507A2"/>
    <w:rsid w:val="00F52745"/>
    <w:rsid w:val="00F5459C"/>
    <w:rsid w:val="00F55FEA"/>
    <w:rsid w:val="00F57959"/>
    <w:rsid w:val="00F57AFF"/>
    <w:rsid w:val="00F60FA7"/>
    <w:rsid w:val="00F623C2"/>
    <w:rsid w:val="00F6298B"/>
    <w:rsid w:val="00F64F76"/>
    <w:rsid w:val="00F66788"/>
    <w:rsid w:val="00F71F9E"/>
    <w:rsid w:val="00F83490"/>
    <w:rsid w:val="00F92929"/>
    <w:rsid w:val="00F9401A"/>
    <w:rsid w:val="00F96159"/>
    <w:rsid w:val="00FB3165"/>
    <w:rsid w:val="00FB7D53"/>
    <w:rsid w:val="00FC0066"/>
    <w:rsid w:val="00FC189A"/>
    <w:rsid w:val="00FC317A"/>
    <w:rsid w:val="00FC6161"/>
    <w:rsid w:val="00FC74AE"/>
    <w:rsid w:val="00FD473F"/>
    <w:rsid w:val="00FD4DAB"/>
    <w:rsid w:val="00FE08D7"/>
    <w:rsid w:val="00FE3AA2"/>
    <w:rsid w:val="00FE71F5"/>
    <w:rsid w:val="00FE7379"/>
    <w:rsid w:val="00FE7421"/>
    <w:rsid w:val="00FE77B1"/>
    <w:rsid w:val="00FF1E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7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71"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1"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77A"/>
    <w:rPr>
      <w:rFonts w:ascii="Times New Roman" w:hAnsi="Times New Roman"/>
      <w:sz w:val="24"/>
    </w:rPr>
  </w:style>
  <w:style w:type="paragraph" w:styleId="Heading1">
    <w:name w:val="heading 1"/>
    <w:basedOn w:val="Normal"/>
    <w:next w:val="Normal"/>
    <w:link w:val="Heading1Char"/>
    <w:qFormat/>
    <w:rsid w:val="00100CA1"/>
    <w:pPr>
      <w:keepNext/>
      <w:spacing w:before="240" w:after="60"/>
      <w:outlineLvl w:val="0"/>
    </w:pPr>
    <w:rPr>
      <w:rFonts w:eastAsia="Times New Roman" w:cs="Arial"/>
      <w:b/>
      <w:bCs/>
      <w:kern w:val="32"/>
      <w:szCs w:val="32"/>
    </w:rPr>
  </w:style>
  <w:style w:type="paragraph" w:styleId="Heading2">
    <w:name w:val="heading 2"/>
    <w:basedOn w:val="Normal"/>
    <w:next w:val="Normal"/>
    <w:link w:val="Heading2Char"/>
    <w:qFormat/>
    <w:rsid w:val="008F6EE2"/>
    <w:pPr>
      <w:keepNext/>
      <w:numPr>
        <w:ilvl w:val="1"/>
        <w:numId w:val="1"/>
      </w:numPr>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8F6EE2"/>
    <w:pPr>
      <w:keepNext/>
      <w:numPr>
        <w:ilvl w:val="2"/>
        <w:numId w:val="1"/>
      </w:numPr>
      <w:spacing w:before="240" w:after="60"/>
      <w:outlineLvl w:val="2"/>
    </w:pPr>
    <w:rPr>
      <w:rFonts w:ascii="Arial" w:eastAsia="Times New Roman" w:hAnsi="Arial" w:cs="Arial"/>
      <w:b/>
      <w:bCs/>
      <w:szCs w:val="26"/>
    </w:rPr>
  </w:style>
  <w:style w:type="paragraph" w:styleId="Heading4">
    <w:name w:val="heading 4"/>
    <w:aliases w:val="Heading 4 Char Char"/>
    <w:basedOn w:val="Normal"/>
    <w:next w:val="Normal"/>
    <w:link w:val="Heading4Char"/>
    <w:qFormat/>
    <w:rsid w:val="008F6EE2"/>
    <w:pPr>
      <w:keepNext/>
      <w:numPr>
        <w:ilvl w:val="3"/>
        <w:numId w:val="1"/>
      </w:numPr>
      <w:spacing w:before="240" w:after="60"/>
      <w:outlineLvl w:val="3"/>
    </w:pPr>
    <w:rPr>
      <w:rFonts w:eastAsia="Times New Roman" w:cs="Times New Roman"/>
      <w:b/>
      <w:bCs/>
      <w:sz w:val="28"/>
      <w:szCs w:val="28"/>
    </w:rPr>
  </w:style>
  <w:style w:type="paragraph" w:styleId="Heading5">
    <w:name w:val="heading 5"/>
    <w:basedOn w:val="Normal"/>
    <w:next w:val="Normal"/>
    <w:link w:val="Heading5Char"/>
    <w:qFormat/>
    <w:rsid w:val="008F6EE2"/>
    <w:pPr>
      <w:numPr>
        <w:ilvl w:val="4"/>
        <w:numId w:val="1"/>
      </w:num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8F6EE2"/>
    <w:pPr>
      <w:numPr>
        <w:ilvl w:val="5"/>
        <w:numId w:val="1"/>
      </w:numPr>
      <w:spacing w:before="240" w:after="60"/>
      <w:outlineLvl w:val="5"/>
    </w:pPr>
    <w:rPr>
      <w:rFonts w:eastAsia="Times New Roman" w:cs="Times New Roman"/>
      <w:b/>
      <w:bCs/>
    </w:rPr>
  </w:style>
  <w:style w:type="paragraph" w:styleId="Heading7">
    <w:name w:val="heading 7"/>
    <w:basedOn w:val="Normal"/>
    <w:next w:val="Normal"/>
    <w:link w:val="Heading7Char"/>
    <w:qFormat/>
    <w:rsid w:val="008F6EE2"/>
    <w:pPr>
      <w:numPr>
        <w:ilvl w:val="6"/>
        <w:numId w:val="1"/>
      </w:numPr>
      <w:spacing w:before="240" w:after="60"/>
      <w:outlineLvl w:val="6"/>
    </w:pPr>
    <w:rPr>
      <w:rFonts w:eastAsia="Times New Roman" w:cs="Times New Roman"/>
      <w:szCs w:val="24"/>
    </w:rPr>
  </w:style>
  <w:style w:type="paragraph" w:styleId="Heading8">
    <w:name w:val="heading 8"/>
    <w:basedOn w:val="Normal"/>
    <w:next w:val="Normal"/>
    <w:link w:val="Heading8Char"/>
    <w:qFormat/>
    <w:rsid w:val="008F6EE2"/>
    <w:pPr>
      <w:numPr>
        <w:ilvl w:val="7"/>
        <w:numId w:val="1"/>
      </w:numPr>
      <w:spacing w:before="240" w:after="60"/>
      <w:outlineLvl w:val="7"/>
    </w:pPr>
    <w:rPr>
      <w:rFonts w:eastAsia="Times New Roman" w:cs="Times New Roman"/>
      <w:i/>
      <w:iCs/>
      <w:szCs w:val="24"/>
    </w:rPr>
  </w:style>
  <w:style w:type="paragraph" w:styleId="Heading9">
    <w:name w:val="heading 9"/>
    <w:basedOn w:val="Normal"/>
    <w:next w:val="Normal"/>
    <w:link w:val="Heading9Char"/>
    <w:qFormat/>
    <w:rsid w:val="008F6EE2"/>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FB3165"/>
    <w:rPr>
      <w:rFonts w:ascii="Tahoma" w:hAnsi="Tahoma" w:cs="Tahoma"/>
      <w:sz w:val="16"/>
      <w:szCs w:val="16"/>
    </w:rPr>
  </w:style>
  <w:style w:type="character" w:customStyle="1" w:styleId="BalloonTextChar">
    <w:name w:val="Balloon Text Char"/>
    <w:basedOn w:val="DefaultParagraphFont"/>
    <w:uiPriority w:val="99"/>
    <w:rsid w:val="00AB236E"/>
    <w:rPr>
      <w:rFonts w:ascii="Lucida Grande" w:hAnsi="Lucida Grande"/>
      <w:sz w:val="18"/>
      <w:szCs w:val="18"/>
    </w:rPr>
  </w:style>
  <w:style w:type="character" w:customStyle="1" w:styleId="BalloonTextChar1">
    <w:name w:val="Balloon Text Char1"/>
    <w:basedOn w:val="DefaultParagraphFont"/>
    <w:link w:val="BalloonText"/>
    <w:uiPriority w:val="99"/>
    <w:rsid w:val="00FB3165"/>
    <w:rPr>
      <w:rFonts w:ascii="Tahoma" w:hAnsi="Tahoma" w:cs="Tahoma"/>
      <w:sz w:val="16"/>
      <w:szCs w:val="16"/>
    </w:rPr>
  </w:style>
  <w:style w:type="paragraph" w:styleId="PlainText">
    <w:name w:val="Plain Text"/>
    <w:basedOn w:val="Normal"/>
    <w:link w:val="PlainTextChar"/>
    <w:uiPriority w:val="99"/>
    <w:rsid w:val="00FB3165"/>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B3165"/>
    <w:rPr>
      <w:rFonts w:ascii="Courier New" w:eastAsia="Times New Roman" w:hAnsi="Courier New" w:cs="Times New Roman"/>
      <w:sz w:val="20"/>
      <w:szCs w:val="20"/>
    </w:rPr>
  </w:style>
  <w:style w:type="character" w:customStyle="1" w:styleId="Heading1Char">
    <w:name w:val="Heading 1 Char"/>
    <w:basedOn w:val="DefaultParagraphFont"/>
    <w:link w:val="Heading1"/>
    <w:rsid w:val="00100CA1"/>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uiPriority w:val="9"/>
    <w:rsid w:val="008F6EE2"/>
    <w:rPr>
      <w:rFonts w:ascii="Arial" w:eastAsia="Times New Roman" w:hAnsi="Arial" w:cs="Arial"/>
      <w:b/>
      <w:bCs/>
      <w:i/>
      <w:iCs/>
      <w:sz w:val="28"/>
      <w:szCs w:val="28"/>
    </w:rPr>
  </w:style>
  <w:style w:type="character" w:customStyle="1" w:styleId="Heading3Char">
    <w:name w:val="Heading 3 Char"/>
    <w:basedOn w:val="DefaultParagraphFont"/>
    <w:link w:val="Heading3"/>
    <w:rsid w:val="008F6EE2"/>
    <w:rPr>
      <w:rFonts w:ascii="Arial" w:eastAsia="Times New Roman" w:hAnsi="Arial" w:cs="Arial"/>
      <w:b/>
      <w:bCs/>
      <w:sz w:val="24"/>
      <w:szCs w:val="26"/>
    </w:rPr>
  </w:style>
  <w:style w:type="character" w:customStyle="1" w:styleId="Heading4Char">
    <w:name w:val="Heading 4 Char"/>
    <w:aliases w:val="Heading 4 Char Char Char"/>
    <w:basedOn w:val="DefaultParagraphFont"/>
    <w:link w:val="Heading4"/>
    <w:rsid w:val="008F6EE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F6EE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8F6EE2"/>
    <w:rPr>
      <w:rFonts w:ascii="Times New Roman" w:eastAsia="Times New Roman" w:hAnsi="Times New Roman" w:cs="Times New Roman"/>
      <w:b/>
      <w:bCs/>
      <w:sz w:val="24"/>
    </w:rPr>
  </w:style>
  <w:style w:type="character" w:customStyle="1" w:styleId="Heading7Char">
    <w:name w:val="Heading 7 Char"/>
    <w:basedOn w:val="DefaultParagraphFont"/>
    <w:link w:val="Heading7"/>
    <w:rsid w:val="008F6EE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F6EE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8F6EE2"/>
    <w:rPr>
      <w:rFonts w:ascii="Arial" w:eastAsia="Times New Roman" w:hAnsi="Arial" w:cs="Arial"/>
      <w:sz w:val="24"/>
    </w:rPr>
  </w:style>
  <w:style w:type="paragraph" w:customStyle="1" w:styleId="StyleHeading2TimesNewRoman12ptNotItalic">
    <w:name w:val="Style Heading 2 + Times New Roman 12 pt Not Italic"/>
    <w:basedOn w:val="Heading2"/>
    <w:rsid w:val="008F6EE2"/>
    <w:pPr>
      <w:ind w:left="576"/>
    </w:pPr>
    <w:rPr>
      <w:rFonts w:ascii="Times New Roman" w:hAnsi="Times New Roman"/>
      <w:i w:val="0"/>
      <w:iCs w:val="0"/>
      <w:sz w:val="24"/>
    </w:rPr>
  </w:style>
  <w:style w:type="paragraph" w:customStyle="1" w:styleId="Level5">
    <w:name w:val="Level 5"/>
    <w:basedOn w:val="Normal"/>
    <w:rsid w:val="00A602EA"/>
    <w:pPr>
      <w:widowControl w:val="0"/>
      <w:numPr>
        <w:ilvl w:val="4"/>
        <w:numId w:val="2"/>
      </w:numPr>
      <w:autoSpaceDE w:val="0"/>
      <w:autoSpaceDN w:val="0"/>
      <w:adjustRightInd w:val="0"/>
      <w:outlineLvl w:val="4"/>
    </w:pPr>
    <w:rPr>
      <w:rFonts w:eastAsia="Times New Roman" w:cs="Times New Roman"/>
      <w:sz w:val="20"/>
      <w:szCs w:val="24"/>
    </w:rPr>
  </w:style>
  <w:style w:type="paragraph" w:customStyle="1" w:styleId="Level6">
    <w:name w:val="Level 6"/>
    <w:basedOn w:val="Normal"/>
    <w:rsid w:val="00A602EA"/>
    <w:pPr>
      <w:widowControl w:val="0"/>
      <w:numPr>
        <w:ilvl w:val="5"/>
        <w:numId w:val="2"/>
      </w:numPr>
      <w:autoSpaceDE w:val="0"/>
      <w:autoSpaceDN w:val="0"/>
      <w:adjustRightInd w:val="0"/>
      <w:outlineLvl w:val="5"/>
    </w:pPr>
    <w:rPr>
      <w:rFonts w:eastAsia="Times New Roman" w:cs="Times New Roman"/>
      <w:sz w:val="20"/>
      <w:szCs w:val="24"/>
    </w:rPr>
  </w:style>
  <w:style w:type="paragraph" w:styleId="Header">
    <w:name w:val="header"/>
    <w:basedOn w:val="Normal"/>
    <w:link w:val="HeaderChar"/>
    <w:uiPriority w:val="99"/>
    <w:unhideWhenUsed/>
    <w:rsid w:val="00345308"/>
    <w:pPr>
      <w:tabs>
        <w:tab w:val="center" w:pos="4680"/>
        <w:tab w:val="right" w:pos="9360"/>
      </w:tabs>
    </w:pPr>
  </w:style>
  <w:style w:type="character" w:customStyle="1" w:styleId="HeaderChar">
    <w:name w:val="Header Char"/>
    <w:basedOn w:val="DefaultParagraphFont"/>
    <w:link w:val="Header"/>
    <w:uiPriority w:val="99"/>
    <w:rsid w:val="00345308"/>
  </w:style>
  <w:style w:type="paragraph" w:styleId="Footer">
    <w:name w:val="footer"/>
    <w:basedOn w:val="Normal"/>
    <w:link w:val="FooterChar"/>
    <w:uiPriority w:val="99"/>
    <w:unhideWhenUsed/>
    <w:rsid w:val="00345308"/>
    <w:pPr>
      <w:tabs>
        <w:tab w:val="center" w:pos="4680"/>
        <w:tab w:val="right" w:pos="9360"/>
      </w:tabs>
    </w:pPr>
  </w:style>
  <w:style w:type="character" w:customStyle="1" w:styleId="FooterChar">
    <w:name w:val="Footer Char"/>
    <w:basedOn w:val="DefaultParagraphFont"/>
    <w:link w:val="Footer"/>
    <w:uiPriority w:val="99"/>
    <w:rsid w:val="00345308"/>
  </w:style>
  <w:style w:type="paragraph" w:styleId="ListParagraph">
    <w:name w:val="List Paragraph"/>
    <w:basedOn w:val="Normal"/>
    <w:uiPriority w:val="34"/>
    <w:qFormat/>
    <w:rsid w:val="00D8321D"/>
    <w:pPr>
      <w:ind w:left="720"/>
      <w:contextualSpacing/>
    </w:pPr>
  </w:style>
  <w:style w:type="paragraph" w:styleId="DocumentMap">
    <w:name w:val="Document Map"/>
    <w:basedOn w:val="Normal"/>
    <w:link w:val="DocumentMapChar"/>
    <w:uiPriority w:val="99"/>
    <w:unhideWhenUsed/>
    <w:rsid w:val="00AF21F9"/>
    <w:rPr>
      <w:rFonts w:ascii="Lucida Grande" w:hAnsi="Lucida Grande"/>
      <w:szCs w:val="24"/>
    </w:rPr>
  </w:style>
  <w:style w:type="character" w:customStyle="1" w:styleId="DocumentMapChar">
    <w:name w:val="Document Map Char"/>
    <w:basedOn w:val="DefaultParagraphFont"/>
    <w:link w:val="DocumentMap"/>
    <w:uiPriority w:val="99"/>
    <w:rsid w:val="00AF21F9"/>
    <w:rPr>
      <w:rFonts w:ascii="Lucida Grande" w:hAnsi="Lucida Grande"/>
      <w:sz w:val="24"/>
      <w:szCs w:val="24"/>
    </w:rPr>
  </w:style>
  <w:style w:type="character" w:styleId="PageNumber">
    <w:name w:val="page number"/>
    <w:basedOn w:val="DefaultParagraphFont"/>
    <w:unhideWhenUsed/>
    <w:rsid w:val="003B7D16"/>
  </w:style>
  <w:style w:type="character" w:styleId="CommentReference">
    <w:name w:val="annotation reference"/>
    <w:basedOn w:val="DefaultParagraphFont"/>
    <w:uiPriority w:val="99"/>
    <w:unhideWhenUsed/>
    <w:rsid w:val="00302F17"/>
    <w:rPr>
      <w:sz w:val="16"/>
      <w:szCs w:val="16"/>
    </w:rPr>
  </w:style>
  <w:style w:type="paragraph" w:styleId="CommentText">
    <w:name w:val="annotation text"/>
    <w:basedOn w:val="Normal"/>
    <w:link w:val="CommentTextChar"/>
    <w:uiPriority w:val="99"/>
    <w:unhideWhenUsed/>
    <w:rsid w:val="00302F17"/>
    <w:rPr>
      <w:sz w:val="20"/>
      <w:szCs w:val="20"/>
    </w:rPr>
  </w:style>
  <w:style w:type="character" w:customStyle="1" w:styleId="CommentTextChar">
    <w:name w:val="Comment Text Char"/>
    <w:basedOn w:val="DefaultParagraphFont"/>
    <w:link w:val="CommentText"/>
    <w:uiPriority w:val="99"/>
    <w:rsid w:val="00302F17"/>
    <w:rPr>
      <w:sz w:val="20"/>
      <w:szCs w:val="20"/>
    </w:rPr>
  </w:style>
  <w:style w:type="paragraph" w:styleId="CommentSubject">
    <w:name w:val="annotation subject"/>
    <w:basedOn w:val="CommentText"/>
    <w:next w:val="CommentText"/>
    <w:link w:val="CommentSubjectChar"/>
    <w:uiPriority w:val="99"/>
    <w:unhideWhenUsed/>
    <w:rsid w:val="00302F17"/>
    <w:rPr>
      <w:b/>
      <w:bCs/>
    </w:rPr>
  </w:style>
  <w:style w:type="character" w:customStyle="1" w:styleId="CommentSubjectChar">
    <w:name w:val="Comment Subject Char"/>
    <w:basedOn w:val="CommentTextChar"/>
    <w:link w:val="CommentSubject"/>
    <w:uiPriority w:val="99"/>
    <w:rsid w:val="00302F17"/>
    <w:rPr>
      <w:b/>
      <w:bCs/>
      <w:sz w:val="20"/>
      <w:szCs w:val="20"/>
    </w:rPr>
  </w:style>
  <w:style w:type="paragraph" w:customStyle="1" w:styleId="Tabletitle">
    <w:name w:val="Table title"/>
    <w:basedOn w:val="Normal"/>
    <w:link w:val="TabletitleChar3"/>
    <w:qFormat/>
    <w:rsid w:val="00F507A2"/>
    <w:rPr>
      <w:rFonts w:eastAsia="Times New Roman" w:cs="Times New Roman"/>
      <w:b/>
      <w:bCs/>
      <w:szCs w:val="24"/>
    </w:rPr>
  </w:style>
  <w:style w:type="character" w:customStyle="1" w:styleId="TabletitleChar3">
    <w:name w:val="Table title Char3"/>
    <w:basedOn w:val="DefaultParagraphFont"/>
    <w:link w:val="Tabletitle"/>
    <w:rsid w:val="00F507A2"/>
    <w:rPr>
      <w:rFonts w:ascii="Times New Roman" w:eastAsia="Times New Roman" w:hAnsi="Times New Roman" w:cs="Times New Roman"/>
      <w:b/>
      <w:bCs/>
      <w:sz w:val="24"/>
      <w:szCs w:val="24"/>
    </w:rPr>
  </w:style>
  <w:style w:type="paragraph" w:customStyle="1" w:styleId="Default">
    <w:name w:val="Default"/>
    <w:rsid w:val="00F507A2"/>
    <w:pPr>
      <w:autoSpaceDE w:val="0"/>
      <w:autoSpaceDN w:val="0"/>
      <w:adjustRightInd w:val="0"/>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F507A2"/>
    <w:pPr>
      <w:widowControl w:val="0"/>
    </w:pPr>
    <w:rPr>
      <w:rFonts w:ascii="Times New Roman" w:eastAsia="Times New Roman" w:hAnsi="Times New Roman" w:cs="Times New Roman"/>
      <w:sz w:val="20"/>
      <w:szCs w:val="20"/>
    </w:rPr>
  </w:style>
  <w:style w:type="character" w:customStyle="1" w:styleId="NoSpacingChar">
    <w:name w:val="No Spacing Char"/>
    <w:basedOn w:val="DefaultParagraphFont"/>
    <w:link w:val="NoSpacing"/>
    <w:uiPriority w:val="99"/>
    <w:locked/>
    <w:rsid w:val="00F507A2"/>
    <w:rPr>
      <w:rFonts w:ascii="Times New Roman" w:eastAsia="Times New Roman" w:hAnsi="Times New Roman" w:cs="Times New Roman"/>
      <w:sz w:val="20"/>
      <w:szCs w:val="20"/>
    </w:rPr>
  </w:style>
  <w:style w:type="character" w:customStyle="1" w:styleId="Heading4CharCharCharChar">
    <w:name w:val="Heading 4 Char Char Char Char"/>
    <w:rsid w:val="001C244F"/>
    <w:rPr>
      <w:rFonts w:ascii="Times New Roman" w:hAnsi="Times New Roman"/>
      <w:b/>
      <w:bCs/>
      <w:sz w:val="28"/>
      <w:szCs w:val="28"/>
      <w:lang w:val="en-US" w:eastAsia="en-US" w:bidi="ar-SA"/>
    </w:rPr>
  </w:style>
  <w:style w:type="paragraph" w:styleId="Caption">
    <w:name w:val="caption"/>
    <w:basedOn w:val="Normal"/>
    <w:next w:val="Normal"/>
    <w:uiPriority w:val="35"/>
    <w:qFormat/>
    <w:rsid w:val="005F0CB0"/>
    <w:pPr>
      <w:spacing w:before="120" w:after="120"/>
    </w:pPr>
    <w:rPr>
      <w:rFonts w:eastAsia="Times New Roman" w:cs="Times New Roman"/>
      <w:b/>
      <w:bCs/>
      <w:szCs w:val="20"/>
    </w:rPr>
  </w:style>
  <w:style w:type="character" w:styleId="Hyperlink">
    <w:name w:val="Hyperlink"/>
    <w:basedOn w:val="DefaultParagraphFont"/>
    <w:uiPriority w:val="99"/>
    <w:rsid w:val="007E3424"/>
    <w:rPr>
      <w:color w:val="0000FF"/>
      <w:u w:val="single"/>
    </w:rPr>
  </w:style>
  <w:style w:type="paragraph" w:styleId="BodyText">
    <w:name w:val="Body Text"/>
    <w:basedOn w:val="Normal"/>
    <w:link w:val="BodyTextChar"/>
    <w:rsid w:val="00102B4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pPr>
    <w:rPr>
      <w:rFonts w:eastAsia="Times New Roman" w:cs="Times New Roman"/>
      <w:szCs w:val="24"/>
    </w:rPr>
  </w:style>
  <w:style w:type="character" w:customStyle="1" w:styleId="BodyTextChar">
    <w:name w:val="Body Text Char"/>
    <w:basedOn w:val="DefaultParagraphFont"/>
    <w:link w:val="BodyText"/>
    <w:rsid w:val="00102B4E"/>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sid w:val="00B0277A"/>
    <w:rPr>
      <w:color w:val="800080" w:themeColor="followedHyperlink"/>
      <w:u w:val="single"/>
    </w:rPr>
  </w:style>
  <w:style w:type="character" w:styleId="Emphasis">
    <w:name w:val="Emphasis"/>
    <w:basedOn w:val="DefaultParagraphFont"/>
    <w:uiPriority w:val="20"/>
    <w:qFormat/>
    <w:rsid w:val="00663B31"/>
    <w:rPr>
      <w:i/>
      <w:iCs/>
    </w:rPr>
  </w:style>
  <w:style w:type="table" w:styleId="TableGrid">
    <w:name w:val="Table Grid"/>
    <w:basedOn w:val="TableNormal"/>
    <w:uiPriority w:val="59"/>
    <w:rsid w:val="00463E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463E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ase">
    <w:name w:val="base"/>
    <w:rsid w:val="004610EE"/>
    <w:rPr>
      <w:rFonts w:cs="Times New Roman"/>
    </w:rPr>
  </w:style>
  <w:style w:type="paragraph" w:customStyle="1" w:styleId="Figuretitle">
    <w:name w:val="Figure title"/>
    <w:basedOn w:val="Normal"/>
    <w:link w:val="FiguretitleChar1"/>
    <w:qFormat/>
    <w:rsid w:val="00135EA7"/>
    <w:rPr>
      <w:rFonts w:eastAsia="Times New Roman" w:cs="Times New Roman"/>
      <w:szCs w:val="24"/>
    </w:rPr>
  </w:style>
  <w:style w:type="character" w:customStyle="1" w:styleId="FiguretitleChar1">
    <w:name w:val="Figure title Char1"/>
    <w:link w:val="Figuretitle"/>
    <w:rsid w:val="00135EA7"/>
    <w:rPr>
      <w:rFonts w:ascii="Times New Roman" w:eastAsia="Times New Roman" w:hAnsi="Times New Roman" w:cs="Times New Roman"/>
      <w:sz w:val="24"/>
      <w:szCs w:val="24"/>
    </w:rPr>
  </w:style>
  <w:style w:type="paragraph" w:customStyle="1" w:styleId="MediumGrid21">
    <w:name w:val="Medium Grid 21"/>
    <w:uiPriority w:val="1"/>
    <w:qFormat/>
    <w:rsid w:val="00891F13"/>
    <w:rPr>
      <w:rFonts w:ascii="Calibri" w:eastAsia="Calibri" w:hAnsi="Calibri" w:cs="Times New Roman"/>
    </w:rPr>
  </w:style>
  <w:style w:type="character" w:customStyle="1" w:styleId="Heading4Char2">
    <w:name w:val="Heading 4 Char2"/>
    <w:aliases w:val="Heading 4 Char Char Char2"/>
    <w:rsid w:val="004A15FA"/>
    <w:rPr>
      <w:b/>
      <w:bCs/>
      <w:sz w:val="28"/>
      <w:szCs w:val="28"/>
    </w:rPr>
  </w:style>
  <w:style w:type="character" w:customStyle="1" w:styleId="TabletitleChar1">
    <w:name w:val="Table title Char1"/>
    <w:rsid w:val="004A15FA"/>
    <w:rPr>
      <w:bCs/>
      <w:sz w:val="24"/>
      <w:szCs w:val="24"/>
      <w:lang w:val="en-US" w:eastAsia="en-US" w:bidi="ar-SA"/>
    </w:rPr>
  </w:style>
  <w:style w:type="paragraph" w:styleId="BodyTextIndent">
    <w:name w:val="Body Text Indent"/>
    <w:basedOn w:val="Normal"/>
    <w:link w:val="BodyTextIndentChar"/>
    <w:rsid w:val="004A15FA"/>
    <w:pPr>
      <w:spacing w:after="120"/>
      <w:ind w:left="360"/>
    </w:pPr>
    <w:rPr>
      <w:rFonts w:eastAsia="Times New Roman" w:cs="Times New Roman"/>
      <w:szCs w:val="24"/>
    </w:rPr>
  </w:style>
  <w:style w:type="character" w:customStyle="1" w:styleId="BodyTextIndentChar">
    <w:name w:val="Body Text Indent Char"/>
    <w:basedOn w:val="DefaultParagraphFont"/>
    <w:link w:val="BodyTextIndent"/>
    <w:rsid w:val="004A15FA"/>
    <w:rPr>
      <w:rFonts w:ascii="Times New Roman" w:eastAsia="Times New Roman" w:hAnsi="Times New Roman" w:cs="Times New Roman"/>
      <w:sz w:val="24"/>
      <w:szCs w:val="24"/>
    </w:rPr>
  </w:style>
  <w:style w:type="paragraph" w:styleId="BodyTextIndent3">
    <w:name w:val="Body Text Indent 3"/>
    <w:basedOn w:val="Normal"/>
    <w:link w:val="BodyTextIndent3Char"/>
    <w:rsid w:val="004A15FA"/>
    <w:pPr>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4A15FA"/>
    <w:rPr>
      <w:rFonts w:ascii="Times New Roman" w:eastAsia="Times New Roman" w:hAnsi="Times New Roman" w:cs="Times New Roman"/>
      <w:sz w:val="16"/>
      <w:szCs w:val="16"/>
    </w:rPr>
  </w:style>
  <w:style w:type="paragraph" w:customStyle="1" w:styleId="CM3">
    <w:name w:val="CM3"/>
    <w:basedOn w:val="Normal"/>
    <w:next w:val="Normal"/>
    <w:rsid w:val="004A15FA"/>
    <w:pPr>
      <w:autoSpaceDE w:val="0"/>
      <w:autoSpaceDN w:val="0"/>
      <w:adjustRightInd w:val="0"/>
      <w:spacing w:line="271" w:lineRule="auto"/>
    </w:pPr>
    <w:rPr>
      <w:rFonts w:eastAsia="Times New Roman" w:cs="Times New Roman"/>
      <w:szCs w:val="24"/>
    </w:rPr>
  </w:style>
  <w:style w:type="character" w:styleId="Strong">
    <w:name w:val="Strong"/>
    <w:uiPriority w:val="22"/>
    <w:qFormat/>
    <w:rsid w:val="004A15FA"/>
    <w:rPr>
      <w:b/>
      <w:bCs/>
    </w:rPr>
  </w:style>
  <w:style w:type="character" w:customStyle="1" w:styleId="moz-txt-tag">
    <w:name w:val="moz-txt-tag"/>
    <w:basedOn w:val="DefaultParagraphFont"/>
    <w:rsid w:val="004A15FA"/>
  </w:style>
  <w:style w:type="paragraph" w:styleId="FootnoteText">
    <w:name w:val="footnote text"/>
    <w:basedOn w:val="Normal"/>
    <w:link w:val="FootnoteTextChar1"/>
    <w:uiPriority w:val="99"/>
    <w:rsid w:val="004A15FA"/>
    <w:rPr>
      <w:rFonts w:eastAsia="Times New Roman" w:cs="Times New Roman"/>
      <w:sz w:val="20"/>
      <w:szCs w:val="20"/>
    </w:rPr>
  </w:style>
  <w:style w:type="character" w:customStyle="1" w:styleId="FootnoteTextChar">
    <w:name w:val="Footnote Text Char"/>
    <w:basedOn w:val="DefaultParagraphFont"/>
    <w:uiPriority w:val="99"/>
    <w:rsid w:val="004A15FA"/>
    <w:rPr>
      <w:rFonts w:ascii="Times New Roman" w:hAnsi="Times New Roman"/>
      <w:sz w:val="24"/>
      <w:szCs w:val="24"/>
    </w:rPr>
  </w:style>
  <w:style w:type="character" w:customStyle="1" w:styleId="FootnoteTextChar1">
    <w:name w:val="Footnote Text Char1"/>
    <w:basedOn w:val="DefaultParagraphFont"/>
    <w:link w:val="FootnoteText"/>
    <w:locked/>
    <w:rsid w:val="004A15FA"/>
    <w:rPr>
      <w:rFonts w:ascii="Times New Roman" w:eastAsia="Times New Roman" w:hAnsi="Times New Roman" w:cs="Times New Roman"/>
      <w:sz w:val="20"/>
      <w:szCs w:val="20"/>
    </w:rPr>
  </w:style>
  <w:style w:type="paragraph" w:customStyle="1" w:styleId="Heading11">
    <w:name w:val="Heading 11"/>
    <w:rsid w:val="004A15FA"/>
    <w:rPr>
      <w:rFonts w:ascii="Courier" w:eastAsia="Times New Roman" w:hAnsi="Courier" w:cs="Times New Roman"/>
      <w:b/>
      <w:sz w:val="24"/>
      <w:szCs w:val="24"/>
      <w:u w:val="single"/>
    </w:rPr>
  </w:style>
  <w:style w:type="character" w:customStyle="1" w:styleId="TabletitleChar">
    <w:name w:val="Table title Char"/>
    <w:rsid w:val="004A15FA"/>
    <w:rPr>
      <w:bCs/>
      <w:sz w:val="24"/>
      <w:szCs w:val="24"/>
      <w:lang w:val="en-US" w:eastAsia="en-US" w:bidi="ar-SA"/>
    </w:rPr>
  </w:style>
  <w:style w:type="paragraph" w:customStyle="1" w:styleId="Heading5best">
    <w:name w:val="Heading 5 best"/>
    <w:basedOn w:val="Heading4"/>
    <w:rsid w:val="004A15FA"/>
    <w:pPr>
      <w:widowControl w:val="0"/>
      <w:numPr>
        <w:ilvl w:val="0"/>
        <w:numId w:val="0"/>
      </w:numPr>
      <w:tabs>
        <w:tab w:val="num" w:pos="1440"/>
      </w:tabs>
      <w:autoSpaceDE w:val="0"/>
      <w:autoSpaceDN w:val="0"/>
      <w:adjustRightInd w:val="0"/>
      <w:ind w:left="1440" w:hanging="1440"/>
    </w:pPr>
    <w:rPr>
      <w:b w:val="0"/>
      <w:bCs w:val="0"/>
      <w:sz w:val="24"/>
    </w:rPr>
  </w:style>
  <w:style w:type="paragraph" w:customStyle="1" w:styleId="Level4">
    <w:name w:val="Level 4"/>
    <w:basedOn w:val="Normal"/>
    <w:rsid w:val="004A15FA"/>
    <w:pPr>
      <w:widowControl w:val="0"/>
      <w:autoSpaceDE w:val="0"/>
      <w:autoSpaceDN w:val="0"/>
      <w:adjustRightInd w:val="0"/>
      <w:outlineLvl w:val="3"/>
    </w:pPr>
    <w:rPr>
      <w:rFonts w:eastAsia="Times New Roman" w:cs="Times New Roman"/>
      <w:sz w:val="20"/>
      <w:szCs w:val="24"/>
    </w:rPr>
  </w:style>
  <w:style w:type="paragraph" w:customStyle="1" w:styleId="month">
    <w:name w:val="month"/>
    <w:basedOn w:val="Normal"/>
    <w:rsid w:val="004A15FA"/>
    <w:rPr>
      <w:rFonts w:ascii="Times" w:eastAsia="Times New Roman" w:hAnsi="Times" w:cs="Times New Roman"/>
      <w:b/>
      <w:szCs w:val="20"/>
    </w:rPr>
  </w:style>
  <w:style w:type="paragraph" w:customStyle="1" w:styleId="a">
    <w:name w:val="ö"/>
    <w:basedOn w:val="Normal"/>
    <w:rsid w:val="004A15FA"/>
    <w:pPr>
      <w:widowControl w:val="0"/>
      <w:tabs>
        <w:tab w:val="left" w:pos="720"/>
      </w:tabs>
      <w:autoSpaceDE w:val="0"/>
      <w:autoSpaceDN w:val="0"/>
      <w:adjustRightInd w:val="0"/>
      <w:ind w:left="720" w:hanging="720"/>
      <w:outlineLvl w:val="0"/>
    </w:pPr>
    <w:rPr>
      <w:rFonts w:eastAsia="Times New Roman" w:cs="Times New Roman"/>
      <w:szCs w:val="24"/>
    </w:rPr>
  </w:style>
  <w:style w:type="paragraph" w:customStyle="1" w:styleId="xl44">
    <w:name w:val="xl44"/>
    <w:basedOn w:val="Normal"/>
    <w:rsid w:val="004A15FA"/>
    <w:pPr>
      <w:pBdr>
        <w:left w:val="single" w:sz="8" w:space="0" w:color="auto"/>
        <w:right w:val="single" w:sz="8" w:space="0" w:color="auto"/>
      </w:pBdr>
      <w:spacing w:before="100" w:after="100"/>
      <w:textAlignment w:val="top"/>
    </w:pPr>
    <w:rPr>
      <w:rFonts w:ascii="Arial" w:eastAsia="Arial Unicode MS" w:hAnsi="Arial" w:cs="Times New Roman"/>
      <w:sz w:val="16"/>
      <w:szCs w:val="24"/>
    </w:rPr>
  </w:style>
  <w:style w:type="character" w:customStyle="1" w:styleId="EmailStyle481">
    <w:name w:val="EmailStyle481"/>
    <w:semiHidden/>
    <w:rsid w:val="004A15FA"/>
    <w:rPr>
      <w:rFonts w:ascii="Arial" w:hAnsi="Arial" w:cs="Arial" w:hint="default"/>
      <w:color w:val="auto"/>
      <w:sz w:val="20"/>
      <w:szCs w:val="20"/>
    </w:rPr>
  </w:style>
  <w:style w:type="paragraph" w:styleId="BodyTextIndent2">
    <w:name w:val="Body Text Indent 2"/>
    <w:basedOn w:val="Normal"/>
    <w:link w:val="BodyTextIndent2Char"/>
    <w:rsid w:val="004A15FA"/>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rsid w:val="004A15FA"/>
    <w:rPr>
      <w:rFonts w:ascii="Times New Roman" w:eastAsia="Times New Roman" w:hAnsi="Times New Roman" w:cs="Times New Roman"/>
      <w:sz w:val="24"/>
      <w:szCs w:val="24"/>
    </w:rPr>
  </w:style>
  <w:style w:type="paragraph" w:styleId="Subtitle">
    <w:name w:val="Subtitle"/>
    <w:basedOn w:val="Normal"/>
    <w:link w:val="SubtitleChar"/>
    <w:qFormat/>
    <w:rsid w:val="004A15FA"/>
    <w:pPr>
      <w:ind w:left="1440" w:hanging="1440"/>
    </w:pPr>
    <w:rPr>
      <w:rFonts w:eastAsia="Times New Roman" w:cs="Times New Roman"/>
      <w:b/>
      <w:bCs/>
      <w:szCs w:val="24"/>
      <w:u w:val="single"/>
    </w:rPr>
  </w:style>
  <w:style w:type="character" w:customStyle="1" w:styleId="SubtitleChar">
    <w:name w:val="Subtitle Char"/>
    <w:basedOn w:val="DefaultParagraphFont"/>
    <w:link w:val="Subtitle"/>
    <w:rsid w:val="004A15FA"/>
    <w:rPr>
      <w:rFonts w:ascii="Times New Roman" w:eastAsia="Times New Roman" w:hAnsi="Times New Roman" w:cs="Times New Roman"/>
      <w:b/>
      <w:bCs/>
      <w:sz w:val="24"/>
      <w:szCs w:val="24"/>
      <w:u w:val="single"/>
    </w:rPr>
  </w:style>
  <w:style w:type="paragraph" w:customStyle="1" w:styleId="xl30">
    <w:name w:val="xl30"/>
    <w:basedOn w:val="Normal"/>
    <w:rsid w:val="004A15FA"/>
    <w:pPr>
      <w:pBdr>
        <w:left w:val="single" w:sz="4" w:space="0" w:color="auto"/>
        <w:bottom w:val="single" w:sz="4" w:space="0" w:color="auto"/>
        <w:right w:val="single" w:sz="4" w:space="0" w:color="auto"/>
      </w:pBdr>
      <w:spacing w:before="100" w:after="100"/>
      <w:jc w:val="center"/>
    </w:pPr>
    <w:rPr>
      <w:rFonts w:ascii="Arial" w:eastAsia="Arial Unicode MS" w:hAnsi="Arial" w:cs="Times New Roman"/>
      <w:sz w:val="16"/>
      <w:szCs w:val="24"/>
    </w:rPr>
  </w:style>
  <w:style w:type="character" w:customStyle="1" w:styleId="title11">
    <w:name w:val="title11"/>
    <w:rsid w:val="004A15FA"/>
    <w:rPr>
      <w:rFonts w:ascii="Arial" w:hAnsi="Arial" w:cs="Arial" w:hint="default"/>
      <w:b/>
      <w:bCs/>
      <w:color w:val="993333"/>
      <w:sz w:val="36"/>
      <w:szCs w:val="36"/>
    </w:rPr>
  </w:style>
  <w:style w:type="paragraph" w:styleId="NormalWeb">
    <w:name w:val="Normal (Web)"/>
    <w:basedOn w:val="Normal"/>
    <w:uiPriority w:val="99"/>
    <w:rsid w:val="004A15FA"/>
    <w:pPr>
      <w:spacing w:before="100" w:beforeAutospacing="1" w:after="100" w:afterAutospacing="1"/>
    </w:pPr>
    <w:rPr>
      <w:rFonts w:eastAsia="Times New Roman" w:cs="Times New Roman"/>
      <w:szCs w:val="24"/>
    </w:rPr>
  </w:style>
  <w:style w:type="paragraph" w:styleId="ListBullet">
    <w:name w:val="List Bullet"/>
    <w:basedOn w:val="Normal"/>
    <w:autoRedefine/>
    <w:rsid w:val="004A15FA"/>
    <w:pPr>
      <w:outlineLvl w:val="0"/>
    </w:pPr>
    <w:rPr>
      <w:rFonts w:ascii="Arial" w:eastAsia="Times New Roman" w:hAnsi="Arial" w:cs="Arial"/>
      <w:sz w:val="20"/>
      <w:szCs w:val="20"/>
    </w:rPr>
  </w:style>
  <w:style w:type="paragraph" w:styleId="List">
    <w:name w:val="List"/>
    <w:basedOn w:val="Normal"/>
    <w:rsid w:val="004A15FA"/>
    <w:pPr>
      <w:ind w:left="360" w:hanging="360"/>
    </w:pPr>
    <w:rPr>
      <w:rFonts w:eastAsia="Times New Roman" w:cs="Times New Roman"/>
      <w:szCs w:val="24"/>
    </w:rPr>
  </w:style>
  <w:style w:type="character" w:styleId="LineNumber">
    <w:name w:val="line number"/>
    <w:basedOn w:val="DefaultParagraphFont"/>
    <w:rsid w:val="004A15FA"/>
  </w:style>
  <w:style w:type="paragraph" w:styleId="BodyText3">
    <w:name w:val="Body Text 3"/>
    <w:basedOn w:val="Normal"/>
    <w:link w:val="BodyText3Char"/>
    <w:rsid w:val="004A15FA"/>
    <w:pPr>
      <w:spacing w:after="120"/>
    </w:pPr>
    <w:rPr>
      <w:rFonts w:eastAsia="Times New Roman" w:cs="Times New Roman"/>
      <w:sz w:val="16"/>
      <w:szCs w:val="16"/>
    </w:rPr>
  </w:style>
  <w:style w:type="character" w:customStyle="1" w:styleId="BodyText3Char">
    <w:name w:val="Body Text 3 Char"/>
    <w:basedOn w:val="DefaultParagraphFont"/>
    <w:link w:val="BodyText3"/>
    <w:rsid w:val="004A15FA"/>
    <w:rPr>
      <w:rFonts w:ascii="Times New Roman" w:eastAsia="Times New Roman" w:hAnsi="Times New Roman" w:cs="Times New Roman"/>
      <w:sz w:val="16"/>
      <w:szCs w:val="16"/>
    </w:rPr>
  </w:style>
  <w:style w:type="paragraph" w:customStyle="1" w:styleId="BodyText2">
    <w:name w:val="Body Text 2*"/>
    <w:basedOn w:val="Normal"/>
    <w:rsid w:val="004A15FA"/>
    <w:pPr>
      <w:ind w:left="360" w:hanging="360"/>
    </w:pPr>
    <w:rPr>
      <w:rFonts w:eastAsia="Times New Roman" w:cs="Times New Roman"/>
      <w:szCs w:val="20"/>
      <w:lang w:val="en-GB"/>
    </w:rPr>
  </w:style>
  <w:style w:type="paragraph" w:customStyle="1" w:styleId="Level8">
    <w:name w:val="Level 8"/>
    <w:rsid w:val="004A15FA"/>
    <w:pPr>
      <w:autoSpaceDE w:val="0"/>
      <w:autoSpaceDN w:val="0"/>
      <w:adjustRightInd w:val="0"/>
      <w:ind w:left="-1440"/>
    </w:pPr>
    <w:rPr>
      <w:rFonts w:ascii="Times New Roman" w:eastAsia="Times New Roman" w:hAnsi="Times New Roman" w:cs="Times New Roman"/>
      <w:sz w:val="24"/>
      <w:szCs w:val="24"/>
    </w:rPr>
  </w:style>
  <w:style w:type="paragraph" w:customStyle="1" w:styleId="Legal1">
    <w:name w:val="Legal 1"/>
    <w:basedOn w:val="Normal"/>
    <w:rsid w:val="004A15FA"/>
    <w:pPr>
      <w:widowControl w:val="0"/>
      <w:tabs>
        <w:tab w:val="num" w:pos="720"/>
      </w:tabs>
      <w:autoSpaceDE w:val="0"/>
      <w:autoSpaceDN w:val="0"/>
      <w:adjustRightInd w:val="0"/>
      <w:ind w:left="360" w:hanging="360"/>
      <w:outlineLvl w:val="0"/>
    </w:pPr>
    <w:rPr>
      <w:rFonts w:eastAsia="Times New Roman" w:cs="Times New Roman"/>
      <w:szCs w:val="24"/>
    </w:rPr>
  </w:style>
  <w:style w:type="paragraph" w:customStyle="1" w:styleId="Legal4">
    <w:name w:val="Legal 4"/>
    <w:basedOn w:val="Normal"/>
    <w:rsid w:val="004A15FA"/>
    <w:pPr>
      <w:widowControl w:val="0"/>
      <w:autoSpaceDE w:val="0"/>
      <w:autoSpaceDN w:val="0"/>
      <w:adjustRightInd w:val="0"/>
      <w:ind w:left="1800" w:hanging="360"/>
      <w:outlineLvl w:val="3"/>
    </w:pPr>
    <w:rPr>
      <w:rFonts w:eastAsia="Times New Roman" w:cs="Times New Roman"/>
      <w:szCs w:val="24"/>
    </w:rPr>
  </w:style>
  <w:style w:type="paragraph" w:customStyle="1" w:styleId="Legal6">
    <w:name w:val="Legal 6"/>
    <w:basedOn w:val="Normal"/>
    <w:rsid w:val="004A15FA"/>
    <w:pPr>
      <w:widowControl w:val="0"/>
      <w:autoSpaceDE w:val="0"/>
      <w:autoSpaceDN w:val="0"/>
      <w:adjustRightInd w:val="0"/>
      <w:ind w:left="3960" w:hanging="720"/>
      <w:outlineLvl w:val="5"/>
    </w:pPr>
    <w:rPr>
      <w:rFonts w:eastAsia="Times New Roman" w:cs="Times New Roman"/>
      <w:szCs w:val="24"/>
    </w:rPr>
  </w:style>
  <w:style w:type="paragraph" w:styleId="TOC1">
    <w:name w:val="toc 1"/>
    <w:basedOn w:val="Normal"/>
    <w:next w:val="Normal"/>
    <w:autoRedefine/>
    <w:uiPriority w:val="39"/>
    <w:rsid w:val="004A15FA"/>
    <w:pPr>
      <w:tabs>
        <w:tab w:val="right" w:leader="dot" w:pos="8630"/>
      </w:tabs>
      <w:ind w:left="360" w:hanging="360"/>
    </w:pPr>
    <w:rPr>
      <w:rFonts w:eastAsia="Times New Roman" w:cs="Times New Roman"/>
      <w:noProof/>
      <w:szCs w:val="24"/>
    </w:rPr>
  </w:style>
  <w:style w:type="paragraph" w:styleId="TOC2">
    <w:name w:val="toc 2"/>
    <w:aliases w:val="TOC 2a"/>
    <w:basedOn w:val="Normal"/>
    <w:next w:val="Normal"/>
    <w:autoRedefine/>
    <w:uiPriority w:val="39"/>
    <w:rsid w:val="004A15FA"/>
    <w:pPr>
      <w:tabs>
        <w:tab w:val="left" w:pos="1260"/>
        <w:tab w:val="left" w:pos="1980"/>
        <w:tab w:val="right" w:leader="dot" w:pos="8630"/>
      </w:tabs>
      <w:ind w:left="540"/>
    </w:pPr>
    <w:rPr>
      <w:rFonts w:eastAsia="Times New Roman" w:cs="Times New Roman"/>
      <w:szCs w:val="24"/>
    </w:rPr>
  </w:style>
  <w:style w:type="paragraph" w:styleId="TOC3">
    <w:name w:val="toc 3"/>
    <w:basedOn w:val="Normal"/>
    <w:next w:val="Normal"/>
    <w:autoRedefine/>
    <w:uiPriority w:val="39"/>
    <w:rsid w:val="004A15FA"/>
    <w:pPr>
      <w:tabs>
        <w:tab w:val="left" w:pos="1260"/>
        <w:tab w:val="left" w:pos="1980"/>
        <w:tab w:val="right" w:leader="dot" w:pos="8630"/>
      </w:tabs>
      <w:ind w:left="480" w:hanging="480"/>
    </w:pPr>
    <w:rPr>
      <w:rFonts w:eastAsia="Times New Roman" w:cs="Times New Roman"/>
      <w:szCs w:val="24"/>
    </w:rPr>
  </w:style>
  <w:style w:type="paragraph" w:styleId="TOC4">
    <w:name w:val="toc 4"/>
    <w:basedOn w:val="Normal"/>
    <w:next w:val="Normal"/>
    <w:autoRedefine/>
    <w:uiPriority w:val="39"/>
    <w:rsid w:val="004A15FA"/>
    <w:pPr>
      <w:tabs>
        <w:tab w:val="left" w:pos="1260"/>
        <w:tab w:val="left" w:pos="1980"/>
        <w:tab w:val="left" w:pos="2700"/>
        <w:tab w:val="right" w:leader="dot" w:pos="8630"/>
      </w:tabs>
      <w:ind w:left="2700" w:hanging="2250"/>
    </w:pPr>
    <w:rPr>
      <w:rFonts w:eastAsia="Times New Roman" w:cs="Times New Roman"/>
      <w:noProof/>
      <w:szCs w:val="24"/>
    </w:rPr>
  </w:style>
  <w:style w:type="paragraph" w:styleId="TOC5">
    <w:name w:val="toc 5"/>
    <w:basedOn w:val="Normal"/>
    <w:next w:val="Normal"/>
    <w:autoRedefine/>
    <w:uiPriority w:val="39"/>
    <w:rsid w:val="004A15FA"/>
    <w:pPr>
      <w:ind w:left="960"/>
    </w:pPr>
    <w:rPr>
      <w:rFonts w:eastAsia="Times New Roman" w:cs="Times New Roman"/>
      <w:szCs w:val="24"/>
    </w:rPr>
  </w:style>
  <w:style w:type="paragraph" w:customStyle="1" w:styleId="xl24">
    <w:name w:val="xl24"/>
    <w:basedOn w:val="Normal"/>
    <w:rsid w:val="004A15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5">
    <w:name w:val="xl25"/>
    <w:basedOn w:val="Normal"/>
    <w:rsid w:val="004A15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26">
    <w:name w:val="xl26"/>
    <w:basedOn w:val="Normal"/>
    <w:rsid w:val="004A15FA"/>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27">
    <w:name w:val="xl27"/>
    <w:basedOn w:val="Normal"/>
    <w:rsid w:val="004A15FA"/>
    <w:pPr>
      <w:pBdr>
        <w:bottom w:val="single" w:sz="4" w:space="0" w:color="auto"/>
        <w:right w:val="single" w:sz="4" w:space="0" w:color="auto"/>
      </w:pBdr>
      <w:spacing w:before="100" w:beforeAutospacing="1" w:after="100" w:afterAutospacing="1"/>
      <w:jc w:val="center"/>
    </w:pPr>
    <w:rPr>
      <w:rFonts w:eastAsia="Arial Unicode MS" w:cs="Times New Roman"/>
      <w:szCs w:val="24"/>
    </w:rPr>
  </w:style>
  <w:style w:type="paragraph" w:customStyle="1" w:styleId="xl28">
    <w:name w:val="xl28"/>
    <w:basedOn w:val="Normal"/>
    <w:rsid w:val="004A15FA"/>
    <w:pPr>
      <w:pBdr>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29">
    <w:name w:val="xl29"/>
    <w:basedOn w:val="Normal"/>
    <w:rsid w:val="004A15FA"/>
    <w:pPr>
      <w:pBdr>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31">
    <w:name w:val="xl31"/>
    <w:basedOn w:val="Normal"/>
    <w:rsid w:val="004A15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2">
    <w:name w:val="xl32"/>
    <w:basedOn w:val="Normal"/>
    <w:rsid w:val="004A15FA"/>
    <w:pPr>
      <w:pBdr>
        <w:top w:val="single" w:sz="4" w:space="0" w:color="auto"/>
        <w:left w:val="single" w:sz="4" w:space="0" w:color="auto"/>
        <w:right w:val="single" w:sz="4" w:space="0" w:color="auto"/>
      </w:pBdr>
      <w:spacing w:before="100" w:beforeAutospacing="1" w:after="100" w:afterAutospacing="1"/>
    </w:pPr>
    <w:rPr>
      <w:rFonts w:eastAsia="Arial Unicode MS" w:cs="Times New Roman"/>
      <w:szCs w:val="24"/>
    </w:rPr>
  </w:style>
  <w:style w:type="paragraph" w:customStyle="1" w:styleId="xl33">
    <w:name w:val="xl33"/>
    <w:basedOn w:val="Normal"/>
    <w:rsid w:val="004A15FA"/>
    <w:pPr>
      <w:pBdr>
        <w:left w:val="single" w:sz="4" w:space="0" w:color="auto"/>
        <w:right w:val="single" w:sz="4" w:space="0" w:color="auto"/>
      </w:pBdr>
      <w:spacing w:before="100" w:beforeAutospacing="1" w:after="100" w:afterAutospacing="1"/>
    </w:pPr>
    <w:rPr>
      <w:rFonts w:eastAsia="Arial Unicode MS" w:cs="Times New Roman"/>
      <w:szCs w:val="24"/>
    </w:rPr>
  </w:style>
  <w:style w:type="paragraph" w:customStyle="1" w:styleId="xl34">
    <w:name w:val="xl34"/>
    <w:basedOn w:val="Normal"/>
    <w:rsid w:val="004A15FA"/>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35">
    <w:name w:val="xl35"/>
    <w:basedOn w:val="Normal"/>
    <w:rsid w:val="004A15FA"/>
    <w:pPr>
      <w:pBdr>
        <w:top w:val="single" w:sz="4" w:space="0" w:color="auto"/>
        <w:bottom w:val="single" w:sz="4" w:space="0" w:color="auto"/>
        <w:right w:val="single" w:sz="4" w:space="0" w:color="000000"/>
      </w:pBdr>
      <w:shd w:val="clear" w:color="auto" w:fill="C0C0C0"/>
      <w:spacing w:before="100" w:beforeAutospacing="1" w:after="100" w:afterAutospacing="1"/>
      <w:jc w:val="center"/>
    </w:pPr>
    <w:rPr>
      <w:rFonts w:eastAsia="Arial Unicode MS" w:cs="Times New Roman"/>
      <w:b/>
      <w:bCs/>
      <w:szCs w:val="24"/>
    </w:rPr>
  </w:style>
  <w:style w:type="paragraph" w:customStyle="1" w:styleId="xl36">
    <w:name w:val="xl36"/>
    <w:basedOn w:val="Normal"/>
    <w:rsid w:val="004A15FA"/>
    <w:pPr>
      <w:pBdr>
        <w:top w:val="single" w:sz="4" w:space="0" w:color="auto"/>
        <w:left w:val="single" w:sz="4" w:space="0" w:color="000000"/>
        <w:bottom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37">
    <w:name w:val="xl37"/>
    <w:basedOn w:val="Normal"/>
    <w:rsid w:val="004A15FA"/>
    <w:pPr>
      <w:pBdr>
        <w:bottom w:val="single" w:sz="4" w:space="0" w:color="auto"/>
        <w:right w:val="single" w:sz="4" w:space="0" w:color="auto"/>
      </w:pBdr>
      <w:shd w:val="clear" w:color="auto" w:fill="FFFFFF"/>
      <w:spacing w:before="100" w:beforeAutospacing="1" w:after="100" w:afterAutospacing="1"/>
      <w:jc w:val="center"/>
    </w:pPr>
    <w:rPr>
      <w:rFonts w:eastAsia="Arial Unicode MS" w:cs="Times New Roman"/>
      <w:szCs w:val="24"/>
    </w:rPr>
  </w:style>
  <w:style w:type="paragraph" w:customStyle="1" w:styleId="xl38">
    <w:name w:val="xl38"/>
    <w:basedOn w:val="Normal"/>
    <w:rsid w:val="004A15FA"/>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39">
    <w:name w:val="xl39"/>
    <w:basedOn w:val="Normal"/>
    <w:rsid w:val="004A15FA"/>
    <w:pPr>
      <w:pBdr>
        <w:left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character" w:styleId="EndnoteReference">
    <w:name w:val="endnote reference"/>
    <w:rsid w:val="004A15FA"/>
    <w:rPr>
      <w:vertAlign w:val="superscript"/>
    </w:rPr>
  </w:style>
  <w:style w:type="paragraph" w:customStyle="1" w:styleId="xl40">
    <w:name w:val="xl40"/>
    <w:basedOn w:val="Normal"/>
    <w:rsid w:val="004A15FA"/>
    <w:pPr>
      <w:pBdr>
        <w:bottom w:val="double" w:sz="6" w:space="0" w:color="auto"/>
        <w:right w:val="single" w:sz="4" w:space="0" w:color="auto"/>
      </w:pBdr>
      <w:shd w:val="clear" w:color="auto" w:fill="FFFFFF"/>
      <w:spacing w:before="100" w:beforeAutospacing="1" w:after="100" w:afterAutospacing="1"/>
      <w:jc w:val="center"/>
    </w:pPr>
    <w:rPr>
      <w:rFonts w:eastAsia="Arial Unicode MS" w:cs="Times New Roman"/>
      <w:szCs w:val="24"/>
    </w:rPr>
  </w:style>
  <w:style w:type="paragraph" w:customStyle="1" w:styleId="xl41">
    <w:name w:val="xl41"/>
    <w:basedOn w:val="Normal"/>
    <w:rsid w:val="004A15FA"/>
    <w:pPr>
      <w:pBdr>
        <w:right w:val="single" w:sz="4" w:space="0" w:color="auto"/>
      </w:pBdr>
      <w:shd w:val="clear" w:color="auto" w:fill="FFFFFF"/>
      <w:spacing w:before="100" w:beforeAutospacing="1" w:after="100" w:afterAutospacing="1"/>
      <w:jc w:val="center"/>
    </w:pPr>
    <w:rPr>
      <w:rFonts w:eastAsia="Arial Unicode MS" w:cs="Times New Roman"/>
      <w:szCs w:val="24"/>
    </w:rPr>
  </w:style>
  <w:style w:type="paragraph" w:customStyle="1" w:styleId="xl42">
    <w:name w:val="xl42"/>
    <w:basedOn w:val="Normal"/>
    <w:rsid w:val="004A15FA"/>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Cs w:val="24"/>
    </w:rPr>
  </w:style>
  <w:style w:type="paragraph" w:customStyle="1" w:styleId="xl43">
    <w:name w:val="xl43"/>
    <w:basedOn w:val="Normal"/>
    <w:rsid w:val="004A15FA"/>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szCs w:val="24"/>
    </w:rPr>
  </w:style>
  <w:style w:type="paragraph" w:customStyle="1" w:styleId="xl45">
    <w:name w:val="xl45"/>
    <w:basedOn w:val="Normal"/>
    <w:rsid w:val="004A15FA"/>
    <w:pPr>
      <w:pBdr>
        <w:left w:val="single" w:sz="4" w:space="0" w:color="auto"/>
        <w:right w:val="single" w:sz="4" w:space="0" w:color="auto"/>
      </w:pBdr>
      <w:spacing w:before="100" w:beforeAutospacing="1" w:after="100" w:afterAutospacing="1"/>
      <w:textAlignment w:val="top"/>
    </w:pPr>
    <w:rPr>
      <w:rFonts w:eastAsia="Arial Unicode MS" w:cs="Times New Roman"/>
      <w:szCs w:val="24"/>
    </w:rPr>
  </w:style>
  <w:style w:type="paragraph" w:customStyle="1" w:styleId="xl46">
    <w:name w:val="xl46"/>
    <w:basedOn w:val="Normal"/>
    <w:rsid w:val="004A15F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Times New Roman"/>
      <w:szCs w:val="24"/>
    </w:rPr>
  </w:style>
  <w:style w:type="paragraph" w:customStyle="1" w:styleId="font5">
    <w:name w:val="font5"/>
    <w:basedOn w:val="Normal"/>
    <w:rsid w:val="004A15FA"/>
    <w:pPr>
      <w:spacing w:before="100" w:beforeAutospacing="1" w:after="100" w:afterAutospacing="1"/>
    </w:pPr>
    <w:rPr>
      <w:rFonts w:eastAsia="Arial Unicode MS" w:cs="Times New Roman"/>
      <w:b/>
      <w:bCs/>
      <w:sz w:val="20"/>
      <w:szCs w:val="20"/>
    </w:rPr>
  </w:style>
  <w:style w:type="paragraph" w:customStyle="1" w:styleId="xl47">
    <w:name w:val="xl47"/>
    <w:basedOn w:val="Normal"/>
    <w:rsid w:val="004A15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48">
    <w:name w:val="xl48"/>
    <w:basedOn w:val="Normal"/>
    <w:rsid w:val="004A15FA"/>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styleId="BodyText20">
    <w:name w:val="Body Text 2"/>
    <w:basedOn w:val="Normal"/>
    <w:link w:val="BodyText2Char"/>
    <w:rsid w:val="004A15FA"/>
    <w:rPr>
      <w:rFonts w:eastAsia="Times New Roman" w:cs="Times New Roman"/>
      <w:color w:val="FFFFFF"/>
      <w:sz w:val="18"/>
      <w:szCs w:val="24"/>
    </w:rPr>
  </w:style>
  <w:style w:type="character" w:customStyle="1" w:styleId="BodyText2Char">
    <w:name w:val="Body Text 2 Char"/>
    <w:basedOn w:val="DefaultParagraphFont"/>
    <w:link w:val="BodyText20"/>
    <w:rsid w:val="004A15FA"/>
    <w:rPr>
      <w:rFonts w:ascii="Times New Roman" w:eastAsia="Times New Roman" w:hAnsi="Times New Roman" w:cs="Times New Roman"/>
      <w:color w:val="FFFFFF"/>
      <w:sz w:val="18"/>
      <w:szCs w:val="24"/>
    </w:rPr>
  </w:style>
  <w:style w:type="paragraph" w:customStyle="1" w:styleId="Level1">
    <w:name w:val="Level 1"/>
    <w:basedOn w:val="Normal"/>
    <w:rsid w:val="004A15FA"/>
    <w:pPr>
      <w:widowControl w:val="0"/>
      <w:tabs>
        <w:tab w:val="num" w:pos="720"/>
      </w:tabs>
      <w:autoSpaceDE w:val="0"/>
      <w:autoSpaceDN w:val="0"/>
      <w:adjustRightInd w:val="0"/>
      <w:ind w:left="432" w:hanging="432"/>
      <w:outlineLvl w:val="0"/>
    </w:pPr>
    <w:rPr>
      <w:rFonts w:eastAsia="Times New Roman" w:cs="Times New Roman"/>
      <w:sz w:val="20"/>
      <w:szCs w:val="24"/>
    </w:rPr>
  </w:style>
  <w:style w:type="paragraph" w:customStyle="1" w:styleId="Level2">
    <w:name w:val="Level 2"/>
    <w:basedOn w:val="Normal"/>
    <w:rsid w:val="004A15FA"/>
    <w:pPr>
      <w:widowControl w:val="0"/>
      <w:tabs>
        <w:tab w:val="num" w:pos="576"/>
      </w:tabs>
      <w:autoSpaceDE w:val="0"/>
      <w:autoSpaceDN w:val="0"/>
      <w:adjustRightInd w:val="0"/>
      <w:ind w:left="576" w:hanging="576"/>
      <w:outlineLvl w:val="1"/>
    </w:pPr>
    <w:rPr>
      <w:rFonts w:eastAsia="Times New Roman" w:cs="Times New Roman"/>
      <w:sz w:val="20"/>
      <w:szCs w:val="24"/>
    </w:rPr>
  </w:style>
  <w:style w:type="paragraph" w:customStyle="1" w:styleId="Level3">
    <w:name w:val="Level 3"/>
    <w:basedOn w:val="Normal"/>
    <w:rsid w:val="004A15FA"/>
    <w:pPr>
      <w:widowControl w:val="0"/>
      <w:tabs>
        <w:tab w:val="num" w:pos="720"/>
      </w:tabs>
      <w:autoSpaceDE w:val="0"/>
      <w:autoSpaceDN w:val="0"/>
      <w:adjustRightInd w:val="0"/>
      <w:ind w:left="720" w:hanging="720"/>
      <w:outlineLvl w:val="2"/>
    </w:pPr>
    <w:rPr>
      <w:rFonts w:eastAsia="Times New Roman" w:cs="Times New Roman"/>
      <w:sz w:val="20"/>
      <w:szCs w:val="24"/>
    </w:rPr>
  </w:style>
  <w:style w:type="paragraph" w:customStyle="1" w:styleId="a0">
    <w:name w:val="û"/>
    <w:basedOn w:val="Normal"/>
    <w:rsid w:val="004A1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5"/>
    </w:pPr>
    <w:rPr>
      <w:rFonts w:eastAsia="Times New Roman" w:cs="Times New Roman"/>
      <w:szCs w:val="24"/>
    </w:rPr>
  </w:style>
  <w:style w:type="paragraph" w:customStyle="1" w:styleId="a1">
    <w:name w:val="ü"/>
    <w:basedOn w:val="Normal"/>
    <w:rsid w:val="004A1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6"/>
    </w:pPr>
    <w:rPr>
      <w:rFonts w:eastAsia="Times New Roman" w:cs="Times New Roman"/>
      <w:szCs w:val="24"/>
    </w:rPr>
  </w:style>
  <w:style w:type="paragraph" w:customStyle="1" w:styleId="a2">
    <w:name w:val="ý"/>
    <w:basedOn w:val="Normal"/>
    <w:rsid w:val="004A1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7"/>
    </w:pPr>
    <w:rPr>
      <w:rFonts w:eastAsia="Times New Roman" w:cs="Times New Roman"/>
      <w:szCs w:val="24"/>
    </w:rPr>
  </w:style>
  <w:style w:type="paragraph" w:styleId="TOC6">
    <w:name w:val="toc 6"/>
    <w:basedOn w:val="Normal"/>
    <w:next w:val="Normal"/>
    <w:autoRedefine/>
    <w:uiPriority w:val="39"/>
    <w:rsid w:val="004A15FA"/>
    <w:pPr>
      <w:ind w:left="1200"/>
    </w:pPr>
    <w:rPr>
      <w:rFonts w:eastAsia="Times New Roman" w:cs="Times New Roman"/>
      <w:szCs w:val="24"/>
    </w:rPr>
  </w:style>
  <w:style w:type="paragraph" w:styleId="TOC7">
    <w:name w:val="toc 7"/>
    <w:basedOn w:val="Normal"/>
    <w:next w:val="Normal"/>
    <w:autoRedefine/>
    <w:uiPriority w:val="39"/>
    <w:rsid w:val="004A15FA"/>
    <w:pPr>
      <w:ind w:left="1440"/>
    </w:pPr>
    <w:rPr>
      <w:rFonts w:eastAsia="Times New Roman" w:cs="Times New Roman"/>
      <w:szCs w:val="24"/>
    </w:rPr>
  </w:style>
  <w:style w:type="paragraph" w:styleId="TOC8">
    <w:name w:val="toc 8"/>
    <w:basedOn w:val="Normal"/>
    <w:next w:val="Normal"/>
    <w:autoRedefine/>
    <w:uiPriority w:val="39"/>
    <w:rsid w:val="004A15FA"/>
    <w:pPr>
      <w:ind w:left="1680"/>
    </w:pPr>
    <w:rPr>
      <w:rFonts w:eastAsia="Times New Roman" w:cs="Times New Roman"/>
      <w:szCs w:val="24"/>
    </w:rPr>
  </w:style>
  <w:style w:type="paragraph" w:styleId="TOC9">
    <w:name w:val="toc 9"/>
    <w:basedOn w:val="Normal"/>
    <w:next w:val="Normal"/>
    <w:autoRedefine/>
    <w:uiPriority w:val="39"/>
    <w:rsid w:val="004A15FA"/>
    <w:pPr>
      <w:ind w:left="1920"/>
    </w:pPr>
    <w:rPr>
      <w:rFonts w:eastAsia="Times New Roman" w:cs="Times New Roman"/>
      <w:szCs w:val="24"/>
    </w:rPr>
  </w:style>
  <w:style w:type="paragraph" w:customStyle="1" w:styleId="Legal2">
    <w:name w:val="Legal 2"/>
    <w:basedOn w:val="Normal"/>
    <w:rsid w:val="004A15FA"/>
    <w:pPr>
      <w:widowControl w:val="0"/>
      <w:autoSpaceDE w:val="0"/>
      <w:autoSpaceDN w:val="0"/>
      <w:adjustRightInd w:val="0"/>
      <w:ind w:left="720" w:hanging="360"/>
      <w:outlineLvl w:val="1"/>
    </w:pPr>
    <w:rPr>
      <w:rFonts w:eastAsia="Times New Roman" w:cs="Times New Roman"/>
      <w:szCs w:val="24"/>
    </w:rPr>
  </w:style>
  <w:style w:type="character" w:styleId="FootnoteReference">
    <w:name w:val="footnote reference"/>
    <w:uiPriority w:val="99"/>
    <w:rsid w:val="004A15FA"/>
    <w:rPr>
      <w:vertAlign w:val="superscript"/>
    </w:rPr>
  </w:style>
  <w:style w:type="paragraph" w:customStyle="1" w:styleId="Legal5">
    <w:name w:val="Legal 5"/>
    <w:rsid w:val="004A15FA"/>
    <w:pPr>
      <w:widowControl w:val="0"/>
      <w:autoSpaceDE w:val="0"/>
      <w:autoSpaceDN w:val="0"/>
      <w:adjustRightInd w:val="0"/>
      <w:ind w:left="720"/>
      <w:jc w:val="both"/>
    </w:pPr>
    <w:rPr>
      <w:rFonts w:ascii="Times New Roman" w:eastAsia="Times New Roman" w:hAnsi="Times New Roman" w:cs="Times New Roman"/>
      <w:sz w:val="24"/>
      <w:szCs w:val="24"/>
    </w:rPr>
  </w:style>
  <w:style w:type="paragraph" w:styleId="Title">
    <w:name w:val="Title"/>
    <w:basedOn w:val="Normal"/>
    <w:link w:val="TitleChar"/>
    <w:qFormat/>
    <w:rsid w:val="004A15FA"/>
    <w:pPr>
      <w:widowControl w:val="0"/>
      <w:autoSpaceDE w:val="0"/>
      <w:autoSpaceDN w:val="0"/>
      <w:adjustRightInd w:val="0"/>
      <w:jc w:val="center"/>
    </w:pPr>
    <w:rPr>
      <w:rFonts w:eastAsia="Times New Roman" w:cs="Times New Roman"/>
      <w:b/>
      <w:bCs/>
      <w:szCs w:val="24"/>
    </w:rPr>
  </w:style>
  <w:style w:type="character" w:customStyle="1" w:styleId="TitleChar">
    <w:name w:val="Title Char"/>
    <w:basedOn w:val="DefaultParagraphFont"/>
    <w:link w:val="Title"/>
    <w:rsid w:val="004A15FA"/>
    <w:rPr>
      <w:rFonts w:ascii="Times New Roman" w:eastAsia="Times New Roman" w:hAnsi="Times New Roman" w:cs="Times New Roman"/>
      <w:b/>
      <w:bCs/>
      <w:sz w:val="24"/>
      <w:szCs w:val="24"/>
    </w:rPr>
  </w:style>
  <w:style w:type="paragraph" w:customStyle="1" w:styleId="Level7">
    <w:name w:val="Level 7"/>
    <w:rsid w:val="004A15FA"/>
    <w:pPr>
      <w:autoSpaceDE w:val="0"/>
      <w:autoSpaceDN w:val="0"/>
      <w:adjustRightInd w:val="0"/>
      <w:ind w:left="-1440"/>
    </w:pPr>
    <w:rPr>
      <w:rFonts w:ascii="Times New Roman" w:eastAsia="Times New Roman" w:hAnsi="Times New Roman" w:cs="Times New Roman"/>
      <w:sz w:val="24"/>
      <w:szCs w:val="24"/>
    </w:rPr>
  </w:style>
  <w:style w:type="paragraph" w:customStyle="1" w:styleId="Level9">
    <w:name w:val="Level 9"/>
    <w:rsid w:val="004A15FA"/>
    <w:pPr>
      <w:autoSpaceDE w:val="0"/>
      <w:autoSpaceDN w:val="0"/>
      <w:adjustRightInd w:val="0"/>
      <w:ind w:left="-1440"/>
    </w:pPr>
    <w:rPr>
      <w:rFonts w:ascii="Times New Roman" w:eastAsia="Times New Roman" w:hAnsi="Times New Roman" w:cs="Times New Roman"/>
      <w:b/>
      <w:bCs/>
      <w:sz w:val="24"/>
      <w:szCs w:val="24"/>
    </w:rPr>
  </w:style>
  <w:style w:type="paragraph" w:customStyle="1" w:styleId="Outline1">
    <w:name w:val="Outline 1"/>
    <w:basedOn w:val="Normal"/>
    <w:rsid w:val="004A15FA"/>
    <w:pPr>
      <w:ind w:left="720"/>
    </w:pPr>
    <w:rPr>
      <w:rFonts w:eastAsia="Times New Roman" w:cs="Times New Roman"/>
      <w:sz w:val="20"/>
      <w:szCs w:val="20"/>
      <w:lang w:val="en-GB"/>
    </w:rPr>
  </w:style>
  <w:style w:type="paragraph" w:customStyle="1" w:styleId="Legal3">
    <w:name w:val="Legal 3"/>
    <w:basedOn w:val="Normal"/>
    <w:rsid w:val="004A15FA"/>
    <w:pPr>
      <w:widowControl w:val="0"/>
      <w:autoSpaceDE w:val="0"/>
      <w:autoSpaceDN w:val="0"/>
      <w:adjustRightInd w:val="0"/>
      <w:ind w:left="1080" w:hanging="360"/>
      <w:outlineLvl w:val="2"/>
    </w:pPr>
    <w:rPr>
      <w:rFonts w:eastAsia="Times New Roman" w:cs="Times New Roman"/>
      <w:szCs w:val="24"/>
    </w:rPr>
  </w:style>
  <w:style w:type="paragraph" w:customStyle="1" w:styleId="Legal7">
    <w:name w:val="Legal 7"/>
    <w:basedOn w:val="Normal"/>
    <w:rsid w:val="004A15FA"/>
    <w:pPr>
      <w:widowControl w:val="0"/>
      <w:autoSpaceDE w:val="0"/>
      <w:autoSpaceDN w:val="0"/>
      <w:adjustRightInd w:val="0"/>
      <w:ind w:left="5400" w:hanging="720"/>
      <w:outlineLvl w:val="6"/>
    </w:pPr>
    <w:rPr>
      <w:rFonts w:eastAsia="Times New Roman" w:cs="Times New Roman"/>
      <w:szCs w:val="24"/>
    </w:rPr>
  </w:style>
  <w:style w:type="paragraph" w:styleId="Index1">
    <w:name w:val="index 1"/>
    <w:basedOn w:val="Normal"/>
    <w:next w:val="Normal"/>
    <w:autoRedefine/>
    <w:uiPriority w:val="99"/>
    <w:rsid w:val="004A15FA"/>
    <w:pPr>
      <w:tabs>
        <w:tab w:val="right" w:leader="dot" w:pos="4310"/>
      </w:tabs>
      <w:ind w:left="240" w:hanging="240"/>
    </w:pPr>
    <w:rPr>
      <w:rFonts w:eastAsia="Times New Roman" w:cs="Times New Roman"/>
      <w:noProof/>
      <w:sz w:val="18"/>
      <w:szCs w:val="18"/>
    </w:rPr>
  </w:style>
  <w:style w:type="paragraph" w:styleId="EndnoteText">
    <w:name w:val="endnote text"/>
    <w:basedOn w:val="Normal"/>
    <w:link w:val="EndnoteTextChar"/>
    <w:rsid w:val="004A15FA"/>
    <w:rPr>
      <w:rFonts w:eastAsia="Times New Roman" w:cs="Times New Roman"/>
      <w:sz w:val="20"/>
      <w:szCs w:val="20"/>
    </w:rPr>
  </w:style>
  <w:style w:type="character" w:customStyle="1" w:styleId="EndnoteTextChar">
    <w:name w:val="Endnote Text Char"/>
    <w:basedOn w:val="DefaultParagraphFont"/>
    <w:link w:val="EndnoteText"/>
    <w:rsid w:val="004A15FA"/>
    <w:rPr>
      <w:rFonts w:ascii="Times New Roman" w:eastAsia="Times New Roman" w:hAnsi="Times New Roman" w:cs="Times New Roman"/>
      <w:sz w:val="20"/>
      <w:szCs w:val="20"/>
    </w:rPr>
  </w:style>
  <w:style w:type="character" w:customStyle="1" w:styleId="Bibliogrphy">
    <w:name w:val="Bibliogrphy"/>
    <w:basedOn w:val="DefaultParagraphFont"/>
    <w:rsid w:val="004A15FA"/>
  </w:style>
  <w:style w:type="character" w:customStyle="1" w:styleId="FiguretitleChar">
    <w:name w:val="Figure title Char"/>
    <w:rsid w:val="004A15FA"/>
    <w:rPr>
      <w:sz w:val="24"/>
      <w:szCs w:val="24"/>
      <w:lang w:val="en-US" w:eastAsia="en-US" w:bidi="ar-SA"/>
    </w:rPr>
  </w:style>
  <w:style w:type="paragraph" w:styleId="TableofFigures">
    <w:name w:val="table of figures"/>
    <w:basedOn w:val="Normal"/>
    <w:next w:val="Normal"/>
    <w:uiPriority w:val="99"/>
    <w:rsid w:val="004A15FA"/>
    <w:pPr>
      <w:ind w:left="480" w:hanging="480"/>
    </w:pPr>
    <w:rPr>
      <w:rFonts w:eastAsia="Times New Roman" w:cs="Times New Roman"/>
      <w:szCs w:val="24"/>
    </w:rPr>
  </w:style>
  <w:style w:type="paragraph" w:customStyle="1" w:styleId="font6">
    <w:name w:val="font6"/>
    <w:basedOn w:val="Normal"/>
    <w:rsid w:val="004A15FA"/>
    <w:pPr>
      <w:spacing w:before="100" w:after="100"/>
    </w:pPr>
    <w:rPr>
      <w:rFonts w:ascii="Arial" w:eastAsia="Arial Unicode MS" w:hAnsi="Arial" w:cs="Times New Roman"/>
      <w:sz w:val="16"/>
      <w:szCs w:val="24"/>
    </w:rPr>
  </w:style>
  <w:style w:type="paragraph" w:customStyle="1" w:styleId="font7">
    <w:name w:val="font7"/>
    <w:basedOn w:val="Normal"/>
    <w:rsid w:val="004A15FA"/>
    <w:pPr>
      <w:spacing w:before="100" w:after="100"/>
    </w:pPr>
    <w:rPr>
      <w:rFonts w:ascii="Arial" w:eastAsia="Arial Unicode MS" w:hAnsi="Arial" w:cs="Times New Roman"/>
      <w:b/>
      <w:sz w:val="16"/>
      <w:szCs w:val="24"/>
    </w:rPr>
  </w:style>
  <w:style w:type="paragraph" w:customStyle="1" w:styleId="font8">
    <w:name w:val="font8"/>
    <w:basedOn w:val="Normal"/>
    <w:rsid w:val="004A15FA"/>
    <w:pPr>
      <w:spacing w:before="100" w:after="100"/>
    </w:pPr>
    <w:rPr>
      <w:rFonts w:ascii="Arial" w:eastAsia="Arial Unicode MS" w:hAnsi="Arial" w:cs="Times New Roman"/>
      <w:sz w:val="16"/>
      <w:szCs w:val="24"/>
    </w:rPr>
  </w:style>
  <w:style w:type="paragraph" w:customStyle="1" w:styleId="xl49">
    <w:name w:val="xl49"/>
    <w:basedOn w:val="Normal"/>
    <w:rsid w:val="004A15FA"/>
    <w:pPr>
      <w:pBdr>
        <w:top w:val="single" w:sz="4" w:space="0" w:color="auto"/>
        <w:left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50">
    <w:name w:val="xl50"/>
    <w:basedOn w:val="Normal"/>
    <w:rsid w:val="004A15FA"/>
    <w:pPr>
      <w:pBdr>
        <w:top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1">
    <w:name w:val="xl51"/>
    <w:basedOn w:val="Normal"/>
    <w:rsid w:val="004A15FA"/>
    <w:pPr>
      <w:pBdr>
        <w:top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2">
    <w:name w:val="xl52"/>
    <w:basedOn w:val="Normal"/>
    <w:rsid w:val="004A15FA"/>
    <w:pPr>
      <w:pBdr>
        <w:top w:val="single" w:sz="4" w:space="0" w:color="auto"/>
        <w:left w:val="single" w:sz="4" w:space="0" w:color="auto"/>
        <w:right w:val="single" w:sz="4" w:space="0" w:color="auto"/>
      </w:pBdr>
      <w:shd w:val="clear" w:color="auto" w:fill="FFFF00"/>
      <w:spacing w:before="100" w:after="100"/>
    </w:pPr>
    <w:rPr>
      <w:rFonts w:ascii="Arial" w:eastAsia="Arial Unicode MS" w:hAnsi="Arial" w:cs="Times New Roman"/>
      <w:b/>
      <w:sz w:val="16"/>
      <w:szCs w:val="24"/>
    </w:rPr>
  </w:style>
  <w:style w:type="paragraph" w:customStyle="1" w:styleId="xl53">
    <w:name w:val="xl53"/>
    <w:basedOn w:val="Normal"/>
    <w:rsid w:val="004A15FA"/>
    <w:pPr>
      <w:pBdr>
        <w:top w:val="single" w:sz="4" w:space="0" w:color="auto"/>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4">
    <w:name w:val="xl54"/>
    <w:basedOn w:val="Normal"/>
    <w:rsid w:val="004A15FA"/>
    <w:pPr>
      <w:pBdr>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5">
    <w:name w:val="xl55"/>
    <w:basedOn w:val="Normal"/>
    <w:rsid w:val="004A15FA"/>
    <w:pPr>
      <w:pBdr>
        <w:left w:val="single" w:sz="4" w:space="0" w:color="auto"/>
        <w:bottom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6">
    <w:name w:val="xl56"/>
    <w:basedOn w:val="Normal"/>
    <w:rsid w:val="004A15FA"/>
    <w:pPr>
      <w:pBdr>
        <w:top w:val="single" w:sz="4" w:space="0" w:color="auto"/>
        <w:left w:val="single" w:sz="4" w:space="0" w:color="auto"/>
        <w:right w:val="single" w:sz="4" w:space="0" w:color="auto"/>
      </w:pBdr>
      <w:shd w:val="clear" w:color="auto" w:fill="FFFF00"/>
      <w:spacing w:before="100" w:after="100"/>
    </w:pPr>
    <w:rPr>
      <w:rFonts w:ascii="Arial" w:eastAsia="Arial Unicode MS" w:hAnsi="Arial" w:cs="Times New Roman"/>
      <w:b/>
      <w:sz w:val="16"/>
      <w:szCs w:val="24"/>
    </w:rPr>
  </w:style>
  <w:style w:type="paragraph" w:customStyle="1" w:styleId="xl57">
    <w:name w:val="xl57"/>
    <w:basedOn w:val="Normal"/>
    <w:rsid w:val="004A15FA"/>
    <w:pPr>
      <w:pBdr>
        <w:top w:val="single" w:sz="4" w:space="0" w:color="auto"/>
        <w:left w:val="single" w:sz="4" w:space="0" w:color="auto"/>
        <w:right w:val="single" w:sz="4" w:space="0" w:color="auto"/>
      </w:pBdr>
      <w:spacing w:before="100" w:after="100"/>
    </w:pPr>
    <w:rPr>
      <w:rFonts w:ascii="Arial" w:eastAsia="Arial Unicode MS" w:hAnsi="Arial" w:cs="Times New Roman"/>
      <w:b/>
      <w:sz w:val="16"/>
      <w:szCs w:val="24"/>
    </w:rPr>
  </w:style>
  <w:style w:type="paragraph" w:customStyle="1" w:styleId="xl58">
    <w:name w:val="xl58"/>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59">
    <w:name w:val="xl59"/>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0">
    <w:name w:val="xl60"/>
    <w:basedOn w:val="Normal"/>
    <w:rsid w:val="004A15FA"/>
    <w:pPr>
      <w:pBdr>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61">
    <w:name w:val="xl61"/>
    <w:basedOn w:val="Normal"/>
    <w:rsid w:val="004A15FA"/>
    <w:pPr>
      <w:pBdr>
        <w:left w:val="single" w:sz="4" w:space="0" w:color="auto"/>
        <w:right w:val="single" w:sz="4" w:space="0" w:color="auto"/>
      </w:pBdr>
      <w:shd w:val="clear" w:color="auto" w:fill="FFFF00"/>
      <w:spacing w:before="100" w:after="100"/>
    </w:pPr>
    <w:rPr>
      <w:rFonts w:ascii="Arial" w:eastAsia="Arial Unicode MS" w:hAnsi="Arial" w:cs="Times New Roman"/>
      <w:b/>
      <w:sz w:val="16"/>
      <w:szCs w:val="24"/>
    </w:rPr>
  </w:style>
  <w:style w:type="paragraph" w:customStyle="1" w:styleId="xl62">
    <w:name w:val="xl62"/>
    <w:basedOn w:val="Normal"/>
    <w:rsid w:val="004A15FA"/>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b/>
      <w:sz w:val="16"/>
      <w:szCs w:val="24"/>
    </w:rPr>
  </w:style>
  <w:style w:type="paragraph" w:customStyle="1" w:styleId="xl63">
    <w:name w:val="xl63"/>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4">
    <w:name w:val="xl64"/>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5">
    <w:name w:val="xl65"/>
    <w:basedOn w:val="Normal"/>
    <w:rsid w:val="004A15FA"/>
    <w:pPr>
      <w:pBdr>
        <w:top w:val="single" w:sz="4" w:space="0" w:color="auto"/>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66">
    <w:name w:val="xl66"/>
    <w:basedOn w:val="Normal"/>
    <w:rsid w:val="004A15FA"/>
    <w:pPr>
      <w:pBdr>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67">
    <w:name w:val="xl67"/>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8">
    <w:name w:val="xl68"/>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9">
    <w:name w:val="xl69"/>
    <w:basedOn w:val="Normal"/>
    <w:rsid w:val="004A15FA"/>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70">
    <w:name w:val="xl70"/>
    <w:basedOn w:val="Normal"/>
    <w:rsid w:val="004A15FA"/>
    <w:pPr>
      <w:pBdr>
        <w:left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71">
    <w:name w:val="xl71"/>
    <w:basedOn w:val="Normal"/>
    <w:rsid w:val="004A15FA"/>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72">
    <w:name w:val="xl72"/>
    <w:basedOn w:val="Normal"/>
    <w:rsid w:val="004A15FA"/>
    <w:pPr>
      <w:pBdr>
        <w:top w:val="single" w:sz="4" w:space="0" w:color="auto"/>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73">
    <w:name w:val="xl73"/>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74">
    <w:name w:val="xl74"/>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75">
    <w:name w:val="xl75"/>
    <w:basedOn w:val="Normal"/>
    <w:rsid w:val="004A15FA"/>
    <w:pPr>
      <w:pBdr>
        <w:left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76">
    <w:name w:val="xl76"/>
    <w:basedOn w:val="Normal"/>
    <w:rsid w:val="004A15FA"/>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77">
    <w:name w:val="xl77"/>
    <w:basedOn w:val="Normal"/>
    <w:rsid w:val="004A15FA"/>
    <w:pPr>
      <w:pBdr>
        <w:left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78">
    <w:name w:val="xl78"/>
    <w:basedOn w:val="Normal"/>
    <w:rsid w:val="004A15FA"/>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79">
    <w:name w:val="xl79"/>
    <w:basedOn w:val="Normal"/>
    <w:rsid w:val="004A15FA"/>
    <w:pPr>
      <w:pBdr>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80">
    <w:name w:val="xl80"/>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1">
    <w:name w:val="xl81"/>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2">
    <w:name w:val="xl82"/>
    <w:basedOn w:val="Normal"/>
    <w:rsid w:val="004A15FA"/>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83">
    <w:name w:val="xl83"/>
    <w:basedOn w:val="Normal"/>
    <w:rsid w:val="004A15FA"/>
    <w:pPr>
      <w:pBdr>
        <w:left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84">
    <w:name w:val="xl84"/>
    <w:basedOn w:val="Normal"/>
    <w:rsid w:val="004A15FA"/>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85">
    <w:name w:val="xl85"/>
    <w:basedOn w:val="Normal"/>
    <w:rsid w:val="004A15FA"/>
    <w:pPr>
      <w:pBdr>
        <w:top w:val="single" w:sz="4" w:space="0" w:color="auto"/>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6">
    <w:name w:val="xl86"/>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7">
    <w:name w:val="xl87"/>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8">
    <w:name w:val="xl88"/>
    <w:basedOn w:val="Normal"/>
    <w:rsid w:val="004A15FA"/>
    <w:pPr>
      <w:pBdr>
        <w:left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89">
    <w:name w:val="xl89"/>
    <w:basedOn w:val="Normal"/>
    <w:rsid w:val="004A15FA"/>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font9">
    <w:name w:val="font9"/>
    <w:basedOn w:val="Normal"/>
    <w:rsid w:val="004A15FA"/>
    <w:pPr>
      <w:spacing w:before="100" w:after="100"/>
    </w:pPr>
    <w:rPr>
      <w:rFonts w:ascii="Arial" w:eastAsia="Arial Unicode MS" w:hAnsi="Arial" w:cs="Times New Roman"/>
      <w:color w:val="FF0000"/>
      <w:sz w:val="16"/>
      <w:szCs w:val="24"/>
    </w:rPr>
  </w:style>
  <w:style w:type="paragraph" w:customStyle="1" w:styleId="font10">
    <w:name w:val="font10"/>
    <w:basedOn w:val="Normal"/>
    <w:rsid w:val="004A15FA"/>
    <w:pPr>
      <w:spacing w:before="100" w:after="100"/>
    </w:pPr>
    <w:rPr>
      <w:rFonts w:ascii="Arial" w:eastAsia="Arial Unicode MS" w:hAnsi="Arial" w:cs="Times New Roman"/>
      <w:b/>
      <w:sz w:val="16"/>
      <w:szCs w:val="24"/>
    </w:rPr>
  </w:style>
  <w:style w:type="paragraph" w:customStyle="1" w:styleId="xl90">
    <w:name w:val="xl90"/>
    <w:basedOn w:val="Normal"/>
    <w:rsid w:val="004A15FA"/>
    <w:pPr>
      <w:pBdr>
        <w:left w:val="single" w:sz="12" w:space="0" w:color="auto"/>
        <w:bottom w:val="single" w:sz="12" w:space="0" w:color="auto"/>
      </w:pBdr>
      <w:spacing w:before="100" w:after="100"/>
      <w:jc w:val="center"/>
    </w:pPr>
    <w:rPr>
      <w:rFonts w:ascii="Arial" w:eastAsia="Arial Unicode MS" w:hAnsi="Arial" w:cs="Times New Roman"/>
      <w:color w:val="000080"/>
      <w:sz w:val="16"/>
      <w:szCs w:val="24"/>
    </w:rPr>
  </w:style>
  <w:style w:type="paragraph" w:customStyle="1" w:styleId="xl91">
    <w:name w:val="xl91"/>
    <w:basedOn w:val="Normal"/>
    <w:rsid w:val="004A15FA"/>
    <w:pPr>
      <w:pBdr>
        <w:bottom w:val="single" w:sz="12" w:space="0" w:color="auto"/>
      </w:pBdr>
      <w:spacing w:before="100" w:after="100"/>
      <w:jc w:val="center"/>
    </w:pPr>
    <w:rPr>
      <w:rFonts w:ascii="Arial" w:eastAsia="Arial Unicode MS" w:hAnsi="Arial" w:cs="Times New Roman"/>
      <w:color w:val="000080"/>
      <w:sz w:val="16"/>
      <w:szCs w:val="24"/>
    </w:rPr>
  </w:style>
  <w:style w:type="paragraph" w:customStyle="1" w:styleId="xl92">
    <w:name w:val="xl92"/>
    <w:basedOn w:val="Normal"/>
    <w:rsid w:val="004A15FA"/>
    <w:pPr>
      <w:pBdr>
        <w:bottom w:val="single" w:sz="12" w:space="0" w:color="auto"/>
        <w:right w:val="single" w:sz="12" w:space="0" w:color="auto"/>
      </w:pBdr>
      <w:spacing w:before="100" w:after="100"/>
      <w:jc w:val="center"/>
    </w:pPr>
    <w:rPr>
      <w:rFonts w:ascii="Arial" w:eastAsia="Arial Unicode MS" w:hAnsi="Arial" w:cs="Times New Roman"/>
      <w:color w:val="000080"/>
      <w:sz w:val="16"/>
      <w:szCs w:val="24"/>
    </w:rPr>
  </w:style>
  <w:style w:type="paragraph" w:customStyle="1" w:styleId="xl93">
    <w:name w:val="xl93"/>
    <w:basedOn w:val="Normal"/>
    <w:rsid w:val="004A15FA"/>
    <w:pPr>
      <w:pBdr>
        <w:top w:val="single" w:sz="4" w:space="0" w:color="auto"/>
        <w:left w:val="single" w:sz="12" w:space="0" w:color="auto"/>
        <w:bottom w:val="single" w:sz="4" w:space="0" w:color="auto"/>
      </w:pBdr>
      <w:spacing w:before="100" w:after="100"/>
    </w:pPr>
    <w:rPr>
      <w:rFonts w:ascii="Arial" w:eastAsia="Arial Unicode MS" w:hAnsi="Arial" w:cs="Times New Roman"/>
      <w:color w:val="FF00FF"/>
      <w:sz w:val="16"/>
      <w:szCs w:val="24"/>
    </w:rPr>
  </w:style>
  <w:style w:type="paragraph" w:customStyle="1" w:styleId="xl94">
    <w:name w:val="xl94"/>
    <w:basedOn w:val="Normal"/>
    <w:rsid w:val="004A15FA"/>
    <w:pPr>
      <w:pBdr>
        <w:top w:val="single" w:sz="4" w:space="0" w:color="auto"/>
        <w:left w:val="single" w:sz="4" w:space="0" w:color="auto"/>
        <w:bottom w:val="single" w:sz="4" w:space="0" w:color="auto"/>
      </w:pBdr>
      <w:spacing w:before="100" w:after="100"/>
      <w:jc w:val="center"/>
    </w:pPr>
    <w:rPr>
      <w:rFonts w:ascii="Arial" w:eastAsia="Arial Unicode MS" w:hAnsi="Arial" w:cs="Times New Roman"/>
      <w:color w:val="800080"/>
      <w:sz w:val="16"/>
      <w:szCs w:val="24"/>
    </w:rPr>
  </w:style>
  <w:style w:type="paragraph" w:customStyle="1" w:styleId="xl95">
    <w:name w:val="xl95"/>
    <w:basedOn w:val="Normal"/>
    <w:rsid w:val="004A15FA"/>
    <w:pPr>
      <w:pBdr>
        <w:top w:val="single" w:sz="4" w:space="0" w:color="auto"/>
        <w:bottom w:val="single" w:sz="4" w:space="0" w:color="auto"/>
      </w:pBdr>
      <w:spacing w:before="100" w:after="100"/>
      <w:jc w:val="center"/>
    </w:pPr>
    <w:rPr>
      <w:rFonts w:ascii="Arial" w:eastAsia="Arial Unicode MS" w:hAnsi="Arial" w:cs="Times New Roman"/>
      <w:color w:val="800080"/>
      <w:sz w:val="16"/>
      <w:szCs w:val="24"/>
    </w:rPr>
  </w:style>
  <w:style w:type="paragraph" w:customStyle="1" w:styleId="xl96">
    <w:name w:val="xl96"/>
    <w:basedOn w:val="Normal"/>
    <w:rsid w:val="004A15FA"/>
    <w:pPr>
      <w:pBdr>
        <w:top w:val="single" w:sz="4" w:space="0" w:color="auto"/>
        <w:left w:val="single" w:sz="12" w:space="0" w:color="auto"/>
        <w:bottom w:val="single" w:sz="12" w:space="0" w:color="auto"/>
      </w:pBdr>
      <w:spacing w:before="100" w:after="100"/>
      <w:jc w:val="center"/>
    </w:pPr>
    <w:rPr>
      <w:rFonts w:ascii="Arial" w:eastAsia="Arial Unicode MS" w:hAnsi="Arial" w:cs="Times New Roman"/>
      <w:color w:val="800080"/>
      <w:sz w:val="16"/>
      <w:szCs w:val="24"/>
    </w:rPr>
  </w:style>
  <w:style w:type="paragraph" w:customStyle="1" w:styleId="xl97">
    <w:name w:val="xl97"/>
    <w:basedOn w:val="Normal"/>
    <w:rsid w:val="004A15FA"/>
    <w:pPr>
      <w:pBdr>
        <w:top w:val="single" w:sz="4" w:space="0" w:color="auto"/>
        <w:bottom w:val="single" w:sz="12" w:space="0" w:color="auto"/>
      </w:pBdr>
      <w:spacing w:before="100" w:after="100"/>
      <w:jc w:val="center"/>
    </w:pPr>
    <w:rPr>
      <w:rFonts w:ascii="Arial" w:eastAsia="Arial Unicode MS" w:hAnsi="Arial" w:cs="Times New Roman"/>
      <w:color w:val="800080"/>
      <w:sz w:val="16"/>
      <w:szCs w:val="24"/>
    </w:rPr>
  </w:style>
  <w:style w:type="paragraph" w:customStyle="1" w:styleId="xl98">
    <w:name w:val="xl98"/>
    <w:basedOn w:val="Normal"/>
    <w:rsid w:val="004A15FA"/>
    <w:pPr>
      <w:pBdr>
        <w:top w:val="single" w:sz="4" w:space="0" w:color="auto"/>
        <w:bottom w:val="single" w:sz="12" w:space="0" w:color="auto"/>
        <w:right w:val="single" w:sz="12" w:space="0" w:color="auto"/>
      </w:pBdr>
      <w:spacing w:before="100" w:after="100"/>
      <w:jc w:val="center"/>
    </w:pPr>
    <w:rPr>
      <w:rFonts w:ascii="Arial" w:eastAsia="Arial Unicode MS" w:hAnsi="Arial" w:cs="Times New Roman"/>
      <w:color w:val="800080"/>
      <w:sz w:val="16"/>
      <w:szCs w:val="24"/>
    </w:rPr>
  </w:style>
  <w:style w:type="paragraph" w:customStyle="1" w:styleId="xl99">
    <w:name w:val="xl99"/>
    <w:basedOn w:val="Normal"/>
    <w:rsid w:val="004A15FA"/>
    <w:pPr>
      <w:pBdr>
        <w:top w:val="single" w:sz="4" w:space="0" w:color="auto"/>
        <w:left w:val="single" w:sz="12" w:space="0" w:color="auto"/>
        <w:bottom w:val="single" w:sz="8" w:space="0" w:color="auto"/>
      </w:pBdr>
      <w:spacing w:before="100" w:after="100"/>
      <w:jc w:val="center"/>
    </w:pPr>
    <w:rPr>
      <w:rFonts w:ascii="Arial" w:eastAsia="Arial Unicode MS" w:hAnsi="Arial" w:cs="Times New Roman"/>
      <w:color w:val="800080"/>
      <w:sz w:val="16"/>
      <w:szCs w:val="24"/>
    </w:rPr>
  </w:style>
  <w:style w:type="paragraph" w:customStyle="1" w:styleId="xl100">
    <w:name w:val="xl100"/>
    <w:basedOn w:val="Normal"/>
    <w:rsid w:val="004A15FA"/>
    <w:pPr>
      <w:pBdr>
        <w:top w:val="single" w:sz="4" w:space="0" w:color="auto"/>
        <w:bottom w:val="single" w:sz="8" w:space="0" w:color="auto"/>
      </w:pBdr>
      <w:spacing w:before="100" w:after="100"/>
      <w:jc w:val="center"/>
    </w:pPr>
    <w:rPr>
      <w:rFonts w:ascii="Arial" w:eastAsia="Arial Unicode MS" w:hAnsi="Arial" w:cs="Times New Roman"/>
      <w:color w:val="800080"/>
      <w:sz w:val="16"/>
      <w:szCs w:val="24"/>
    </w:rPr>
  </w:style>
  <w:style w:type="paragraph" w:customStyle="1" w:styleId="xl101">
    <w:name w:val="xl101"/>
    <w:basedOn w:val="Normal"/>
    <w:rsid w:val="004A15FA"/>
    <w:pPr>
      <w:pBdr>
        <w:top w:val="single" w:sz="4" w:space="0" w:color="auto"/>
        <w:bottom w:val="single" w:sz="8" w:space="0" w:color="auto"/>
        <w:right w:val="single" w:sz="12" w:space="0" w:color="auto"/>
      </w:pBdr>
      <w:spacing w:before="100" w:after="100"/>
      <w:jc w:val="center"/>
    </w:pPr>
    <w:rPr>
      <w:rFonts w:ascii="Arial" w:eastAsia="Arial Unicode MS" w:hAnsi="Arial" w:cs="Times New Roman"/>
      <w:color w:val="800080"/>
      <w:sz w:val="16"/>
      <w:szCs w:val="24"/>
    </w:rPr>
  </w:style>
  <w:style w:type="paragraph" w:customStyle="1" w:styleId="xl102">
    <w:name w:val="xl102"/>
    <w:basedOn w:val="Normal"/>
    <w:rsid w:val="004A15FA"/>
    <w:pPr>
      <w:pBdr>
        <w:top w:val="single" w:sz="4" w:space="0" w:color="auto"/>
        <w:left w:val="single" w:sz="12" w:space="0" w:color="auto"/>
        <w:bottom w:val="single" w:sz="12" w:space="0" w:color="auto"/>
      </w:pBdr>
      <w:spacing w:before="100" w:after="100"/>
      <w:jc w:val="center"/>
    </w:pPr>
    <w:rPr>
      <w:rFonts w:ascii="Arial" w:eastAsia="Arial Unicode MS" w:hAnsi="Arial" w:cs="Times New Roman"/>
      <w:color w:val="008000"/>
      <w:sz w:val="16"/>
      <w:szCs w:val="24"/>
    </w:rPr>
  </w:style>
  <w:style w:type="paragraph" w:customStyle="1" w:styleId="xl103">
    <w:name w:val="xl103"/>
    <w:basedOn w:val="Normal"/>
    <w:rsid w:val="004A15FA"/>
    <w:pPr>
      <w:pBdr>
        <w:top w:val="single" w:sz="4" w:space="0" w:color="auto"/>
        <w:bottom w:val="single" w:sz="12" w:space="0" w:color="auto"/>
      </w:pBdr>
      <w:spacing w:before="100" w:after="100"/>
      <w:jc w:val="center"/>
    </w:pPr>
    <w:rPr>
      <w:rFonts w:ascii="Arial" w:eastAsia="Arial Unicode MS" w:hAnsi="Arial" w:cs="Times New Roman"/>
      <w:color w:val="008000"/>
      <w:sz w:val="16"/>
      <w:szCs w:val="24"/>
    </w:rPr>
  </w:style>
  <w:style w:type="paragraph" w:customStyle="1" w:styleId="xl104">
    <w:name w:val="xl104"/>
    <w:basedOn w:val="Normal"/>
    <w:rsid w:val="004A15FA"/>
    <w:pPr>
      <w:pBdr>
        <w:top w:val="single" w:sz="4" w:space="0" w:color="auto"/>
        <w:bottom w:val="single" w:sz="12" w:space="0" w:color="auto"/>
        <w:right w:val="single" w:sz="12" w:space="0" w:color="auto"/>
      </w:pBdr>
      <w:spacing w:before="100" w:after="100"/>
      <w:jc w:val="center"/>
    </w:pPr>
    <w:rPr>
      <w:rFonts w:ascii="Arial" w:eastAsia="Arial Unicode MS" w:hAnsi="Arial" w:cs="Times New Roman"/>
      <w:color w:val="008000"/>
      <w:sz w:val="16"/>
      <w:szCs w:val="24"/>
    </w:rPr>
  </w:style>
  <w:style w:type="paragraph" w:customStyle="1" w:styleId="xl105">
    <w:name w:val="xl105"/>
    <w:basedOn w:val="Normal"/>
    <w:rsid w:val="004A15FA"/>
    <w:pPr>
      <w:pBdr>
        <w:top w:val="single" w:sz="4" w:space="0" w:color="auto"/>
        <w:left w:val="single" w:sz="12" w:space="0" w:color="auto"/>
        <w:bottom w:val="single" w:sz="8" w:space="0" w:color="auto"/>
      </w:pBdr>
      <w:spacing w:before="100" w:after="100"/>
    </w:pPr>
    <w:rPr>
      <w:rFonts w:ascii="Arial" w:eastAsia="Arial Unicode MS" w:hAnsi="Arial" w:cs="Times New Roman"/>
      <w:color w:val="008000"/>
      <w:sz w:val="16"/>
      <w:szCs w:val="24"/>
    </w:rPr>
  </w:style>
  <w:style w:type="paragraph" w:customStyle="1" w:styleId="xl106">
    <w:name w:val="xl106"/>
    <w:basedOn w:val="Normal"/>
    <w:rsid w:val="004A15FA"/>
    <w:pPr>
      <w:pBdr>
        <w:left w:val="single" w:sz="12" w:space="0" w:color="auto"/>
        <w:bottom w:val="single" w:sz="4" w:space="0" w:color="auto"/>
      </w:pBdr>
      <w:spacing w:before="100" w:after="100"/>
    </w:pPr>
    <w:rPr>
      <w:rFonts w:ascii="Arial" w:eastAsia="Arial Unicode MS" w:hAnsi="Arial" w:cs="Times New Roman"/>
      <w:b/>
      <w:color w:val="FF00FF"/>
      <w:sz w:val="16"/>
      <w:szCs w:val="24"/>
    </w:rPr>
  </w:style>
  <w:style w:type="paragraph" w:customStyle="1" w:styleId="xl107">
    <w:name w:val="xl107"/>
    <w:basedOn w:val="Normal"/>
    <w:rsid w:val="004A15FA"/>
    <w:pPr>
      <w:pBdr>
        <w:bottom w:val="single" w:sz="4" w:space="0" w:color="auto"/>
      </w:pBdr>
      <w:spacing w:before="100" w:after="100"/>
    </w:pPr>
    <w:rPr>
      <w:rFonts w:ascii="Arial" w:eastAsia="Arial Unicode MS" w:hAnsi="Arial" w:cs="Times New Roman"/>
      <w:sz w:val="16"/>
      <w:szCs w:val="24"/>
    </w:rPr>
  </w:style>
  <w:style w:type="paragraph" w:customStyle="1" w:styleId="xl108">
    <w:name w:val="xl108"/>
    <w:basedOn w:val="Normal"/>
    <w:rsid w:val="004A15FA"/>
    <w:pPr>
      <w:spacing w:before="100" w:after="100"/>
    </w:pPr>
    <w:rPr>
      <w:rFonts w:ascii="Arial" w:eastAsia="Arial Unicode MS" w:hAnsi="Arial" w:cs="Times New Roman"/>
      <w:sz w:val="16"/>
      <w:szCs w:val="24"/>
    </w:rPr>
  </w:style>
  <w:style w:type="paragraph" w:customStyle="1" w:styleId="xl109">
    <w:name w:val="xl109"/>
    <w:basedOn w:val="Normal"/>
    <w:rsid w:val="004A15FA"/>
    <w:pPr>
      <w:pBdr>
        <w:right w:val="single" w:sz="12" w:space="0" w:color="auto"/>
      </w:pBdr>
      <w:spacing w:before="100" w:after="100"/>
    </w:pPr>
    <w:rPr>
      <w:rFonts w:ascii="Arial" w:eastAsia="Arial Unicode MS" w:hAnsi="Arial" w:cs="Times New Roman"/>
      <w:sz w:val="16"/>
      <w:szCs w:val="24"/>
    </w:rPr>
  </w:style>
  <w:style w:type="paragraph" w:customStyle="1" w:styleId="xl110">
    <w:name w:val="xl110"/>
    <w:basedOn w:val="Normal"/>
    <w:rsid w:val="004A15FA"/>
    <w:pPr>
      <w:pBdr>
        <w:top w:val="single" w:sz="4" w:space="0" w:color="auto"/>
        <w:left w:val="single" w:sz="12" w:space="0" w:color="auto"/>
        <w:bottom w:val="single" w:sz="4" w:space="0" w:color="auto"/>
      </w:pBdr>
      <w:spacing w:before="100" w:after="100"/>
    </w:pPr>
    <w:rPr>
      <w:rFonts w:ascii="Arial" w:eastAsia="Arial Unicode MS" w:hAnsi="Arial" w:cs="Times New Roman"/>
      <w:color w:val="008000"/>
      <w:sz w:val="16"/>
      <w:szCs w:val="24"/>
    </w:rPr>
  </w:style>
  <w:style w:type="paragraph" w:customStyle="1" w:styleId="xl111">
    <w:name w:val="xl111"/>
    <w:basedOn w:val="Normal"/>
    <w:rsid w:val="004A15FA"/>
    <w:pPr>
      <w:pBdr>
        <w:top w:val="single" w:sz="12" w:space="0" w:color="auto"/>
        <w:left w:val="single" w:sz="12" w:space="0" w:color="auto"/>
        <w:bottom w:val="single" w:sz="12" w:space="0" w:color="auto"/>
      </w:pBdr>
      <w:spacing w:before="100" w:after="100"/>
      <w:jc w:val="center"/>
    </w:pPr>
    <w:rPr>
      <w:rFonts w:ascii="Arial" w:eastAsia="Arial Unicode MS" w:hAnsi="Arial" w:cs="Times New Roman"/>
      <w:b/>
      <w:sz w:val="16"/>
      <w:szCs w:val="24"/>
    </w:rPr>
  </w:style>
  <w:style w:type="paragraph" w:customStyle="1" w:styleId="xl112">
    <w:name w:val="xl112"/>
    <w:basedOn w:val="Normal"/>
    <w:rsid w:val="004A15FA"/>
    <w:pPr>
      <w:pBdr>
        <w:top w:val="single" w:sz="12" w:space="0" w:color="auto"/>
        <w:bottom w:val="single" w:sz="12" w:space="0" w:color="auto"/>
      </w:pBdr>
      <w:spacing w:before="100" w:after="100"/>
      <w:jc w:val="center"/>
    </w:pPr>
    <w:rPr>
      <w:rFonts w:ascii="Arial Unicode MS" w:eastAsia="Arial Unicode MS" w:hAnsi="Arial Unicode MS" w:cs="Times New Roman"/>
      <w:szCs w:val="24"/>
    </w:rPr>
  </w:style>
  <w:style w:type="paragraph" w:customStyle="1" w:styleId="xl113">
    <w:name w:val="xl113"/>
    <w:basedOn w:val="Normal"/>
    <w:rsid w:val="004A15FA"/>
    <w:pPr>
      <w:pBdr>
        <w:top w:val="single" w:sz="12" w:space="0" w:color="auto"/>
        <w:bottom w:val="single" w:sz="12" w:space="0" w:color="auto"/>
        <w:right w:val="single" w:sz="12" w:space="0" w:color="auto"/>
      </w:pBdr>
      <w:spacing w:before="100" w:after="100"/>
      <w:jc w:val="center"/>
    </w:pPr>
    <w:rPr>
      <w:rFonts w:ascii="Arial Unicode MS" w:eastAsia="Arial Unicode MS" w:hAnsi="Arial Unicode MS" w:cs="Times New Roman"/>
      <w:szCs w:val="24"/>
    </w:rPr>
  </w:style>
  <w:style w:type="paragraph" w:customStyle="1" w:styleId="xl114">
    <w:name w:val="xl114"/>
    <w:basedOn w:val="Normal"/>
    <w:rsid w:val="004A15FA"/>
    <w:pPr>
      <w:pBdr>
        <w:top w:val="single" w:sz="12" w:space="0" w:color="auto"/>
        <w:left w:val="single" w:sz="12" w:space="0" w:color="auto"/>
        <w:bottom w:val="single" w:sz="4" w:space="0" w:color="auto"/>
      </w:pBdr>
      <w:spacing w:before="100" w:after="100"/>
    </w:pPr>
    <w:rPr>
      <w:rFonts w:ascii="Arial" w:eastAsia="Arial Unicode MS" w:hAnsi="Arial" w:cs="Times New Roman"/>
      <w:b/>
      <w:color w:val="000080"/>
      <w:sz w:val="16"/>
      <w:szCs w:val="24"/>
    </w:rPr>
  </w:style>
  <w:style w:type="paragraph" w:customStyle="1" w:styleId="xl115">
    <w:name w:val="xl115"/>
    <w:basedOn w:val="Normal"/>
    <w:rsid w:val="004A15FA"/>
    <w:pPr>
      <w:pBdr>
        <w:top w:val="single" w:sz="12" w:space="0" w:color="auto"/>
        <w:bottom w:val="single" w:sz="4" w:space="0" w:color="auto"/>
      </w:pBdr>
      <w:spacing w:before="100" w:after="100"/>
    </w:pPr>
    <w:rPr>
      <w:rFonts w:ascii="Arial Unicode MS" w:eastAsia="Arial Unicode MS" w:hAnsi="Arial Unicode MS" w:cs="Times New Roman"/>
      <w:szCs w:val="24"/>
    </w:rPr>
  </w:style>
  <w:style w:type="paragraph" w:customStyle="1" w:styleId="xl116">
    <w:name w:val="xl116"/>
    <w:basedOn w:val="Normal"/>
    <w:rsid w:val="004A15FA"/>
    <w:pPr>
      <w:pBdr>
        <w:top w:val="single" w:sz="12" w:space="0" w:color="auto"/>
      </w:pBdr>
      <w:spacing w:before="100" w:after="100"/>
    </w:pPr>
    <w:rPr>
      <w:rFonts w:ascii="Arial Unicode MS" w:eastAsia="Arial Unicode MS" w:hAnsi="Arial Unicode MS" w:cs="Times New Roman"/>
      <w:szCs w:val="24"/>
    </w:rPr>
  </w:style>
  <w:style w:type="paragraph" w:customStyle="1" w:styleId="xl117">
    <w:name w:val="xl117"/>
    <w:basedOn w:val="Normal"/>
    <w:rsid w:val="004A15FA"/>
    <w:pPr>
      <w:pBdr>
        <w:top w:val="single" w:sz="12" w:space="0" w:color="auto"/>
      </w:pBdr>
      <w:spacing w:before="100" w:after="100"/>
    </w:pPr>
    <w:rPr>
      <w:rFonts w:ascii="Arial Unicode MS" w:eastAsia="Arial Unicode MS" w:hAnsi="Arial Unicode MS" w:cs="Times New Roman"/>
      <w:szCs w:val="24"/>
    </w:rPr>
  </w:style>
  <w:style w:type="paragraph" w:customStyle="1" w:styleId="xl118">
    <w:name w:val="xl118"/>
    <w:basedOn w:val="Normal"/>
    <w:rsid w:val="004A15FA"/>
    <w:pPr>
      <w:pBdr>
        <w:top w:val="single" w:sz="12" w:space="0" w:color="auto"/>
        <w:right w:val="single" w:sz="12" w:space="0" w:color="auto"/>
      </w:pBdr>
      <w:spacing w:before="100" w:after="100"/>
    </w:pPr>
    <w:rPr>
      <w:rFonts w:ascii="Arial Unicode MS" w:eastAsia="Arial Unicode MS" w:hAnsi="Arial Unicode MS" w:cs="Times New Roman"/>
      <w:szCs w:val="24"/>
    </w:rPr>
  </w:style>
  <w:style w:type="paragraph" w:customStyle="1" w:styleId="xl119">
    <w:name w:val="xl119"/>
    <w:basedOn w:val="Normal"/>
    <w:rsid w:val="004A15FA"/>
    <w:pPr>
      <w:pBdr>
        <w:top w:val="single" w:sz="12" w:space="0" w:color="auto"/>
        <w:left w:val="single" w:sz="12" w:space="0" w:color="auto"/>
        <w:right w:val="single" w:sz="12" w:space="0" w:color="auto"/>
      </w:pBdr>
      <w:shd w:val="clear" w:color="auto" w:fill="FFFF00"/>
      <w:spacing w:before="100" w:after="100"/>
    </w:pPr>
    <w:rPr>
      <w:rFonts w:ascii="Arial" w:eastAsia="Arial Unicode MS" w:hAnsi="Arial" w:cs="Times New Roman"/>
      <w:b/>
      <w:szCs w:val="24"/>
    </w:rPr>
  </w:style>
  <w:style w:type="paragraph" w:customStyle="1" w:styleId="xl120">
    <w:name w:val="xl120"/>
    <w:basedOn w:val="Normal"/>
    <w:rsid w:val="004A15FA"/>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1">
    <w:name w:val="xl121"/>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2">
    <w:name w:val="xl122"/>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3">
    <w:name w:val="xl123"/>
    <w:basedOn w:val="Normal"/>
    <w:rsid w:val="004A15FA"/>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4">
    <w:name w:val="xl124"/>
    <w:basedOn w:val="Normal"/>
    <w:rsid w:val="004A15FA"/>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5">
    <w:name w:val="xl125"/>
    <w:basedOn w:val="Normal"/>
    <w:rsid w:val="004A15FA"/>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26">
    <w:name w:val="xl126"/>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27">
    <w:name w:val="xl127"/>
    <w:basedOn w:val="Normal"/>
    <w:rsid w:val="004A15FA"/>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28">
    <w:name w:val="xl128"/>
    <w:basedOn w:val="Normal"/>
    <w:rsid w:val="004A15FA"/>
    <w:pPr>
      <w:pBdr>
        <w:top w:val="single" w:sz="8" w:space="0" w:color="auto"/>
        <w:left w:val="single" w:sz="8" w:space="0" w:color="auto"/>
        <w:bottom w:val="single" w:sz="4"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29">
    <w:name w:val="xl129"/>
    <w:basedOn w:val="Normal"/>
    <w:rsid w:val="004A15FA"/>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30">
    <w:name w:val="xl130"/>
    <w:basedOn w:val="Normal"/>
    <w:rsid w:val="004A15FA"/>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1">
    <w:name w:val="xl131"/>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2">
    <w:name w:val="xl132"/>
    <w:basedOn w:val="Normal"/>
    <w:rsid w:val="004A15FA"/>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3">
    <w:name w:val="xl133"/>
    <w:basedOn w:val="Normal"/>
    <w:rsid w:val="004A15FA"/>
    <w:pPr>
      <w:pBdr>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4">
    <w:name w:val="xl134"/>
    <w:basedOn w:val="Normal"/>
    <w:rsid w:val="004A15FA"/>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5">
    <w:name w:val="xl135"/>
    <w:basedOn w:val="Normal"/>
    <w:rsid w:val="004A15FA"/>
    <w:pPr>
      <w:pBdr>
        <w:top w:val="single" w:sz="12" w:space="0" w:color="auto"/>
        <w:left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36">
    <w:name w:val="xl136"/>
    <w:basedOn w:val="Normal"/>
    <w:rsid w:val="004A15FA"/>
    <w:pPr>
      <w:pBdr>
        <w:top w:val="single" w:sz="12" w:space="0" w:color="auto"/>
        <w:right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37">
    <w:name w:val="xl137"/>
    <w:basedOn w:val="Normal"/>
    <w:rsid w:val="004A15FA"/>
    <w:pPr>
      <w:pBdr>
        <w:top w:val="single" w:sz="12" w:space="0" w:color="auto"/>
      </w:pBdr>
      <w:spacing w:before="100" w:after="100"/>
      <w:jc w:val="center"/>
    </w:pPr>
    <w:rPr>
      <w:rFonts w:ascii="Arial" w:eastAsia="Arial Unicode MS" w:hAnsi="Arial" w:cs="Times New Roman"/>
      <w:szCs w:val="24"/>
    </w:rPr>
  </w:style>
  <w:style w:type="paragraph" w:customStyle="1" w:styleId="xl138">
    <w:name w:val="xl138"/>
    <w:basedOn w:val="Normal"/>
    <w:rsid w:val="004A15FA"/>
    <w:pPr>
      <w:pBdr>
        <w:top w:val="single" w:sz="12" w:space="0" w:color="auto"/>
        <w:right w:val="single" w:sz="12" w:space="0" w:color="auto"/>
      </w:pBdr>
      <w:spacing w:before="100" w:after="100"/>
      <w:jc w:val="center"/>
    </w:pPr>
    <w:rPr>
      <w:rFonts w:ascii="Arial" w:eastAsia="Arial Unicode MS" w:hAnsi="Arial" w:cs="Times New Roman"/>
      <w:szCs w:val="24"/>
    </w:rPr>
  </w:style>
  <w:style w:type="paragraph" w:customStyle="1" w:styleId="xl139">
    <w:name w:val="xl139"/>
    <w:basedOn w:val="Normal"/>
    <w:rsid w:val="004A15FA"/>
    <w:pPr>
      <w:pBdr>
        <w:top w:val="single" w:sz="12"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cs="Times New Roman"/>
      <w:b/>
      <w:szCs w:val="24"/>
    </w:rPr>
  </w:style>
  <w:style w:type="paragraph" w:customStyle="1" w:styleId="xl140">
    <w:name w:val="xl140"/>
    <w:basedOn w:val="Normal"/>
    <w:rsid w:val="004A15FA"/>
    <w:pPr>
      <w:pBdr>
        <w:top w:val="single" w:sz="12"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41">
    <w:name w:val="xl141"/>
    <w:basedOn w:val="Normal"/>
    <w:rsid w:val="004A15FA"/>
    <w:pPr>
      <w:pBdr>
        <w:top w:val="single" w:sz="12" w:space="0" w:color="auto"/>
        <w:left w:val="single" w:sz="12" w:space="0" w:color="auto"/>
        <w:bottom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42">
    <w:name w:val="xl142"/>
    <w:basedOn w:val="Normal"/>
    <w:rsid w:val="004A15FA"/>
    <w:pPr>
      <w:pBdr>
        <w:top w:val="single" w:sz="12" w:space="0" w:color="auto"/>
        <w:bottom w:val="single" w:sz="12" w:space="0" w:color="auto"/>
        <w:right w:val="single" w:sz="4" w:space="0" w:color="auto"/>
      </w:pBdr>
      <w:spacing w:before="100" w:after="100"/>
      <w:jc w:val="center"/>
    </w:pPr>
    <w:rPr>
      <w:rFonts w:ascii="Arial" w:eastAsia="Arial Unicode MS" w:hAnsi="Arial" w:cs="Times New Roman"/>
      <w:szCs w:val="24"/>
    </w:rPr>
  </w:style>
  <w:style w:type="paragraph" w:customStyle="1" w:styleId="xl143">
    <w:name w:val="xl143"/>
    <w:basedOn w:val="Normal"/>
    <w:rsid w:val="004A15FA"/>
    <w:pPr>
      <w:pBdr>
        <w:top w:val="single" w:sz="12" w:space="0" w:color="auto"/>
        <w:left w:val="single" w:sz="4" w:space="0" w:color="auto"/>
        <w:bottom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44">
    <w:name w:val="xl144"/>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FF00FF"/>
      <w:sz w:val="22"/>
      <w:szCs w:val="24"/>
    </w:rPr>
  </w:style>
  <w:style w:type="paragraph" w:customStyle="1" w:styleId="xl145">
    <w:name w:val="xl145"/>
    <w:basedOn w:val="Normal"/>
    <w:rsid w:val="004A15FA"/>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s="Times New Roman"/>
      <w:color w:val="800080"/>
      <w:sz w:val="22"/>
      <w:szCs w:val="24"/>
    </w:rPr>
  </w:style>
  <w:style w:type="paragraph" w:customStyle="1" w:styleId="xl146">
    <w:name w:val="xl146"/>
    <w:basedOn w:val="Normal"/>
    <w:rsid w:val="004A15FA"/>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FF00FF"/>
      <w:sz w:val="22"/>
      <w:szCs w:val="24"/>
    </w:rPr>
  </w:style>
  <w:style w:type="paragraph" w:customStyle="1" w:styleId="xl147">
    <w:name w:val="xl147"/>
    <w:basedOn w:val="Normal"/>
    <w:rsid w:val="004A15FA"/>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s="Times New Roman"/>
      <w:color w:val="800080"/>
      <w:sz w:val="22"/>
      <w:szCs w:val="24"/>
    </w:rPr>
  </w:style>
  <w:style w:type="paragraph" w:customStyle="1" w:styleId="xl148">
    <w:name w:val="xl148"/>
    <w:basedOn w:val="Normal"/>
    <w:rsid w:val="004A15FA"/>
    <w:pPr>
      <w:pBdr>
        <w:top w:val="single" w:sz="12" w:space="0" w:color="auto"/>
        <w:left w:val="single" w:sz="12" w:space="0" w:color="auto"/>
        <w:bottom w:val="single" w:sz="8"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49">
    <w:name w:val="xl149"/>
    <w:basedOn w:val="Normal"/>
    <w:rsid w:val="004A15FA"/>
    <w:pPr>
      <w:pBdr>
        <w:top w:val="single" w:sz="12" w:space="0" w:color="auto"/>
        <w:bottom w:val="single" w:sz="8" w:space="0" w:color="auto"/>
        <w:right w:val="single" w:sz="12"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0">
    <w:name w:val="xl150"/>
    <w:basedOn w:val="Normal"/>
    <w:rsid w:val="004A15FA"/>
    <w:pPr>
      <w:pBdr>
        <w:top w:val="single" w:sz="12" w:space="0" w:color="auto"/>
        <w:bottom w:val="single" w:sz="8" w:space="0" w:color="auto"/>
      </w:pBdr>
      <w:spacing w:before="100" w:after="100"/>
      <w:jc w:val="center"/>
    </w:pPr>
    <w:rPr>
      <w:rFonts w:ascii="Arial" w:eastAsia="Arial Unicode MS" w:hAnsi="Arial" w:cs="Times New Roman"/>
      <w:sz w:val="22"/>
      <w:szCs w:val="24"/>
    </w:rPr>
  </w:style>
  <w:style w:type="paragraph" w:customStyle="1" w:styleId="xl151">
    <w:name w:val="xl151"/>
    <w:basedOn w:val="Normal"/>
    <w:rsid w:val="004A15FA"/>
    <w:pPr>
      <w:pBdr>
        <w:top w:val="single" w:sz="12" w:space="0" w:color="auto"/>
        <w:bottom w:val="single" w:sz="8" w:space="0" w:color="auto"/>
        <w:right w:val="single" w:sz="12" w:space="0" w:color="auto"/>
      </w:pBdr>
      <w:spacing w:before="100" w:after="100"/>
      <w:jc w:val="center"/>
    </w:pPr>
    <w:rPr>
      <w:rFonts w:ascii="Arial" w:eastAsia="Arial Unicode MS" w:hAnsi="Arial" w:cs="Times New Roman"/>
      <w:sz w:val="22"/>
      <w:szCs w:val="24"/>
    </w:rPr>
  </w:style>
  <w:style w:type="paragraph" w:customStyle="1" w:styleId="xl152">
    <w:name w:val="xl152"/>
    <w:basedOn w:val="Normal"/>
    <w:rsid w:val="004A15FA"/>
    <w:pPr>
      <w:pBdr>
        <w:top w:val="single" w:sz="12" w:space="0" w:color="auto"/>
        <w:bottom w:val="single" w:sz="8" w:space="0" w:color="auto"/>
      </w:pBdr>
      <w:spacing w:before="100" w:after="100"/>
    </w:pPr>
    <w:rPr>
      <w:rFonts w:ascii="Arial" w:eastAsia="Arial Unicode MS" w:hAnsi="Arial" w:cs="Times New Roman"/>
      <w:sz w:val="22"/>
      <w:szCs w:val="24"/>
    </w:rPr>
  </w:style>
  <w:style w:type="paragraph" w:customStyle="1" w:styleId="xl153">
    <w:name w:val="xl153"/>
    <w:basedOn w:val="Normal"/>
    <w:rsid w:val="004A15FA"/>
    <w:pPr>
      <w:pBdr>
        <w:top w:val="single" w:sz="12" w:space="0" w:color="auto"/>
        <w:bottom w:val="single" w:sz="8" w:space="0" w:color="auto"/>
        <w:right w:val="single" w:sz="12" w:space="0" w:color="auto"/>
      </w:pBdr>
      <w:spacing w:before="100" w:after="100"/>
    </w:pPr>
    <w:rPr>
      <w:rFonts w:ascii="Arial" w:eastAsia="Arial Unicode MS" w:hAnsi="Arial" w:cs="Times New Roman"/>
      <w:sz w:val="22"/>
      <w:szCs w:val="24"/>
    </w:rPr>
  </w:style>
  <w:style w:type="paragraph" w:customStyle="1" w:styleId="xl154">
    <w:name w:val="xl154"/>
    <w:basedOn w:val="Normal"/>
    <w:rsid w:val="004A15FA"/>
    <w:pPr>
      <w:pBdr>
        <w:top w:val="single" w:sz="8"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5">
    <w:name w:val="xl155"/>
    <w:basedOn w:val="Normal"/>
    <w:rsid w:val="004A15FA"/>
    <w:pPr>
      <w:pBdr>
        <w:top w:val="single" w:sz="8"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6">
    <w:name w:val="xl156"/>
    <w:basedOn w:val="Normal"/>
    <w:rsid w:val="004A15FA"/>
    <w:pPr>
      <w:pBdr>
        <w:top w:val="single" w:sz="8" w:space="0" w:color="auto"/>
        <w:left w:val="single" w:sz="12" w:space="0" w:color="auto"/>
        <w:bottom w:val="single" w:sz="12"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7">
    <w:name w:val="xl157"/>
    <w:basedOn w:val="Normal"/>
    <w:rsid w:val="004A15FA"/>
    <w:pPr>
      <w:pBdr>
        <w:top w:val="single" w:sz="8" w:space="0" w:color="auto"/>
        <w:bottom w:val="single" w:sz="12" w:space="0" w:color="auto"/>
        <w:right w:val="single" w:sz="4" w:space="0" w:color="auto"/>
      </w:pBdr>
      <w:spacing w:before="100" w:after="100"/>
      <w:jc w:val="center"/>
    </w:pPr>
    <w:rPr>
      <w:rFonts w:ascii="Arial" w:eastAsia="Arial Unicode MS" w:hAnsi="Arial" w:cs="Times New Roman"/>
      <w:sz w:val="22"/>
      <w:szCs w:val="24"/>
    </w:rPr>
  </w:style>
  <w:style w:type="paragraph" w:customStyle="1" w:styleId="xl158">
    <w:name w:val="xl158"/>
    <w:basedOn w:val="Normal"/>
    <w:rsid w:val="004A15FA"/>
    <w:pPr>
      <w:pBdr>
        <w:top w:val="single" w:sz="8" w:space="0" w:color="auto"/>
        <w:left w:val="single" w:sz="4" w:space="0" w:color="auto"/>
        <w:bottom w:val="single" w:sz="12"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9">
    <w:name w:val="xl159"/>
    <w:basedOn w:val="Normal"/>
    <w:rsid w:val="004A15FA"/>
    <w:pPr>
      <w:pBdr>
        <w:top w:val="single" w:sz="8" w:space="0" w:color="auto"/>
        <w:bottom w:val="single" w:sz="12" w:space="0" w:color="auto"/>
        <w:right w:val="single" w:sz="12" w:space="0" w:color="auto"/>
      </w:pBdr>
      <w:spacing w:before="100" w:after="100"/>
      <w:jc w:val="center"/>
    </w:pPr>
    <w:rPr>
      <w:rFonts w:ascii="Arial" w:eastAsia="Arial Unicode MS" w:hAnsi="Arial" w:cs="Times New Roman"/>
      <w:sz w:val="22"/>
      <w:szCs w:val="24"/>
    </w:rPr>
  </w:style>
  <w:style w:type="character" w:customStyle="1" w:styleId="CharChar1">
    <w:name w:val="Char Char1"/>
    <w:rsid w:val="004A15FA"/>
    <w:rPr>
      <w:rFonts w:eastAsia="Times"/>
      <w:bCs/>
      <w:i/>
      <w:sz w:val="24"/>
      <w:szCs w:val="28"/>
      <w:lang w:val="en-US" w:eastAsia="en-US" w:bidi="ar-SA"/>
    </w:rPr>
  </w:style>
  <w:style w:type="paragraph" w:customStyle="1" w:styleId="keyheaders">
    <w:name w:val="keyheaders"/>
    <w:basedOn w:val="Normal"/>
    <w:rsid w:val="004A15FA"/>
    <w:pPr>
      <w:spacing w:before="100" w:beforeAutospacing="1" w:after="100" w:afterAutospacing="1"/>
    </w:pPr>
    <w:rPr>
      <w:rFonts w:eastAsia="Times New Roman" w:cs="Times New Roman"/>
      <w:szCs w:val="24"/>
    </w:rPr>
  </w:style>
  <w:style w:type="character" w:customStyle="1" w:styleId="style11">
    <w:name w:val="style11"/>
    <w:rsid w:val="004A15FA"/>
    <w:rPr>
      <w:rFonts w:ascii="Arial Narrow" w:hAnsi="Arial Narrow" w:hint="default"/>
    </w:rPr>
  </w:style>
  <w:style w:type="paragraph" w:customStyle="1" w:styleId="homepagetext">
    <w:name w:val="homepagetext"/>
    <w:basedOn w:val="Normal"/>
    <w:rsid w:val="004A15FA"/>
    <w:pPr>
      <w:spacing w:before="100" w:beforeAutospacing="1" w:after="100" w:afterAutospacing="1"/>
    </w:pPr>
    <w:rPr>
      <w:rFonts w:ascii="Arial" w:eastAsia="Times New Roman" w:hAnsi="Arial" w:cs="Arial"/>
      <w:color w:val="CCCCCC"/>
      <w:sz w:val="18"/>
      <w:szCs w:val="18"/>
    </w:rPr>
  </w:style>
  <w:style w:type="paragraph" w:customStyle="1" w:styleId="CM8">
    <w:name w:val="CM8"/>
    <w:basedOn w:val="Default"/>
    <w:next w:val="Default"/>
    <w:rsid w:val="004A15FA"/>
    <w:pPr>
      <w:spacing w:line="228" w:lineRule="atLeast"/>
    </w:pPr>
    <w:rPr>
      <w:rFonts w:ascii="Arial" w:hAnsi="Arial"/>
      <w:color w:val="auto"/>
    </w:rPr>
  </w:style>
  <w:style w:type="paragraph" w:customStyle="1" w:styleId="CM4">
    <w:name w:val="CM4"/>
    <w:basedOn w:val="Default"/>
    <w:next w:val="Default"/>
    <w:rsid w:val="004A15FA"/>
    <w:pPr>
      <w:spacing w:line="228" w:lineRule="atLeast"/>
    </w:pPr>
    <w:rPr>
      <w:rFonts w:ascii="Arial" w:hAnsi="Arial"/>
      <w:color w:val="auto"/>
    </w:rPr>
  </w:style>
  <w:style w:type="paragraph" w:customStyle="1" w:styleId="CM110">
    <w:name w:val="CM110"/>
    <w:basedOn w:val="Default"/>
    <w:next w:val="Default"/>
    <w:rsid w:val="004A15FA"/>
    <w:pPr>
      <w:spacing w:line="228" w:lineRule="atLeast"/>
    </w:pPr>
    <w:rPr>
      <w:rFonts w:ascii="Arial" w:hAnsi="Arial"/>
      <w:color w:val="auto"/>
    </w:rPr>
  </w:style>
  <w:style w:type="paragraph" w:customStyle="1" w:styleId="CM74">
    <w:name w:val="CM74"/>
    <w:basedOn w:val="Default"/>
    <w:next w:val="Default"/>
    <w:rsid w:val="004A15FA"/>
    <w:pPr>
      <w:spacing w:line="228" w:lineRule="atLeast"/>
    </w:pPr>
    <w:rPr>
      <w:rFonts w:ascii="Arial" w:hAnsi="Arial"/>
      <w:color w:val="auto"/>
    </w:rPr>
  </w:style>
  <w:style w:type="paragraph" w:customStyle="1" w:styleId="CM85">
    <w:name w:val="CM85"/>
    <w:basedOn w:val="Default"/>
    <w:next w:val="Default"/>
    <w:rsid w:val="004A15FA"/>
    <w:pPr>
      <w:spacing w:line="228" w:lineRule="atLeast"/>
    </w:pPr>
    <w:rPr>
      <w:rFonts w:ascii="Arial" w:hAnsi="Arial"/>
      <w:color w:val="auto"/>
    </w:rPr>
  </w:style>
  <w:style w:type="paragraph" w:customStyle="1" w:styleId="CM105">
    <w:name w:val="CM105"/>
    <w:basedOn w:val="Default"/>
    <w:next w:val="Default"/>
    <w:rsid w:val="004A15FA"/>
    <w:pPr>
      <w:spacing w:line="228" w:lineRule="atLeast"/>
    </w:pPr>
    <w:rPr>
      <w:rFonts w:ascii="Arial" w:hAnsi="Arial"/>
      <w:color w:val="auto"/>
    </w:rPr>
  </w:style>
  <w:style w:type="paragraph" w:styleId="z-TopofForm">
    <w:name w:val="HTML Top of Form"/>
    <w:basedOn w:val="Normal"/>
    <w:next w:val="Normal"/>
    <w:link w:val="z-TopofFormChar"/>
    <w:hidden/>
    <w:rsid w:val="004A15FA"/>
    <w:pPr>
      <w:pBdr>
        <w:bottom w:val="single" w:sz="6" w:space="1" w:color="auto"/>
      </w:pBdr>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rsid w:val="004A15FA"/>
    <w:rPr>
      <w:rFonts w:ascii="Arial" w:eastAsia="Times New Roman" w:hAnsi="Arial" w:cs="Times New Roman"/>
      <w:vanish/>
      <w:sz w:val="16"/>
      <w:szCs w:val="16"/>
    </w:rPr>
  </w:style>
  <w:style w:type="paragraph" w:styleId="z-BottomofForm">
    <w:name w:val="HTML Bottom of Form"/>
    <w:basedOn w:val="Normal"/>
    <w:next w:val="Normal"/>
    <w:link w:val="z-BottomofFormChar"/>
    <w:hidden/>
    <w:rsid w:val="004A15FA"/>
    <w:pPr>
      <w:pBdr>
        <w:top w:val="single" w:sz="6" w:space="1" w:color="auto"/>
      </w:pBdr>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rsid w:val="004A15FA"/>
    <w:rPr>
      <w:rFonts w:ascii="Arial" w:eastAsia="Times New Roman" w:hAnsi="Arial" w:cs="Times New Roman"/>
      <w:vanish/>
      <w:sz w:val="16"/>
      <w:szCs w:val="16"/>
    </w:rPr>
  </w:style>
  <w:style w:type="paragraph" w:customStyle="1" w:styleId="xl22">
    <w:name w:val="xl22"/>
    <w:basedOn w:val="Normal"/>
    <w:rsid w:val="004A15FA"/>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styleId="ListBullet4">
    <w:name w:val="List Bullet 4"/>
    <w:basedOn w:val="Normal"/>
    <w:autoRedefine/>
    <w:rsid w:val="004A15FA"/>
    <w:pPr>
      <w:tabs>
        <w:tab w:val="num" w:pos="1440"/>
      </w:tabs>
      <w:ind w:left="1440" w:hanging="360"/>
    </w:pPr>
    <w:rPr>
      <w:rFonts w:eastAsia="Times New Roman" w:cs="Times New Roman"/>
      <w:szCs w:val="24"/>
    </w:rPr>
  </w:style>
  <w:style w:type="paragraph" w:styleId="HTMLPreformatted">
    <w:name w:val="HTML Preformatted"/>
    <w:basedOn w:val="Normal"/>
    <w:link w:val="HTMLPreformattedChar"/>
    <w:uiPriority w:val="99"/>
    <w:rsid w:val="004A1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color w:val="000000"/>
      <w:sz w:val="20"/>
      <w:szCs w:val="20"/>
    </w:rPr>
  </w:style>
  <w:style w:type="character" w:customStyle="1" w:styleId="HTMLPreformattedChar">
    <w:name w:val="HTML Preformatted Char"/>
    <w:basedOn w:val="DefaultParagraphFont"/>
    <w:link w:val="HTMLPreformatted"/>
    <w:uiPriority w:val="99"/>
    <w:rsid w:val="004A15FA"/>
    <w:rPr>
      <w:rFonts w:ascii="Courier New" w:eastAsia="Courier New" w:hAnsi="Courier New" w:cs="Times New Roman"/>
      <w:color w:val="000000"/>
      <w:sz w:val="20"/>
      <w:szCs w:val="20"/>
    </w:rPr>
  </w:style>
  <w:style w:type="paragraph" w:styleId="List2">
    <w:name w:val="List 2"/>
    <w:basedOn w:val="Normal"/>
    <w:rsid w:val="004A15FA"/>
    <w:pPr>
      <w:ind w:left="720" w:hanging="360"/>
    </w:pPr>
    <w:rPr>
      <w:rFonts w:eastAsia="Times New Roman" w:cs="Times New Roman"/>
      <w:szCs w:val="24"/>
    </w:rPr>
  </w:style>
  <w:style w:type="paragraph" w:customStyle="1" w:styleId="Style">
    <w:name w:val="Style"/>
    <w:basedOn w:val="FootnoteText"/>
    <w:rsid w:val="004A15FA"/>
    <w:pPr>
      <w:keepLines/>
      <w:spacing w:after="240"/>
    </w:pPr>
    <w:rPr>
      <w:sz w:val="24"/>
    </w:rPr>
  </w:style>
  <w:style w:type="paragraph" w:customStyle="1" w:styleId="Style1">
    <w:name w:val="Style1"/>
    <w:basedOn w:val="Title"/>
    <w:rsid w:val="004A15FA"/>
    <w:pPr>
      <w:widowControl/>
      <w:autoSpaceDE/>
      <w:autoSpaceDN/>
      <w:adjustRightInd/>
      <w:spacing w:before="240" w:after="60"/>
      <w:jc w:val="left"/>
      <w:outlineLvl w:val="0"/>
    </w:pPr>
    <w:rPr>
      <w:rFonts w:cs="Arial"/>
      <w:kern w:val="28"/>
      <w:sz w:val="28"/>
      <w:szCs w:val="32"/>
    </w:rPr>
  </w:style>
  <w:style w:type="character" w:customStyle="1" w:styleId="MTEquationSection">
    <w:name w:val="MTEquationSection"/>
    <w:rsid w:val="004A15FA"/>
    <w:rPr>
      <w:vanish/>
      <w:color w:val="FF0000"/>
      <w:sz w:val="28"/>
      <w:szCs w:val="28"/>
    </w:rPr>
  </w:style>
  <w:style w:type="paragraph" w:styleId="Index2">
    <w:name w:val="index 2"/>
    <w:basedOn w:val="Normal"/>
    <w:next w:val="Normal"/>
    <w:autoRedefine/>
    <w:uiPriority w:val="99"/>
    <w:rsid w:val="004A15FA"/>
    <w:pPr>
      <w:ind w:left="480" w:hanging="240"/>
    </w:pPr>
    <w:rPr>
      <w:rFonts w:eastAsia="Times New Roman" w:cs="Times New Roman"/>
      <w:sz w:val="18"/>
      <w:szCs w:val="18"/>
    </w:rPr>
  </w:style>
  <w:style w:type="paragraph" w:styleId="Index3">
    <w:name w:val="index 3"/>
    <w:basedOn w:val="Normal"/>
    <w:next w:val="Normal"/>
    <w:autoRedefine/>
    <w:rsid w:val="004A15FA"/>
    <w:pPr>
      <w:ind w:left="720" w:hanging="240"/>
    </w:pPr>
    <w:rPr>
      <w:rFonts w:eastAsia="Times New Roman" w:cs="Times New Roman"/>
      <w:sz w:val="18"/>
      <w:szCs w:val="18"/>
    </w:rPr>
  </w:style>
  <w:style w:type="paragraph" w:styleId="Index4">
    <w:name w:val="index 4"/>
    <w:basedOn w:val="Normal"/>
    <w:next w:val="Normal"/>
    <w:autoRedefine/>
    <w:rsid w:val="004A15FA"/>
    <w:pPr>
      <w:ind w:left="960" w:hanging="240"/>
    </w:pPr>
    <w:rPr>
      <w:rFonts w:eastAsia="Times New Roman" w:cs="Times New Roman"/>
      <w:sz w:val="18"/>
      <w:szCs w:val="18"/>
    </w:rPr>
  </w:style>
  <w:style w:type="paragraph" w:styleId="Index5">
    <w:name w:val="index 5"/>
    <w:basedOn w:val="Normal"/>
    <w:next w:val="Normal"/>
    <w:autoRedefine/>
    <w:rsid w:val="004A15FA"/>
    <w:pPr>
      <w:ind w:left="1200" w:hanging="240"/>
    </w:pPr>
    <w:rPr>
      <w:rFonts w:eastAsia="Times New Roman" w:cs="Times New Roman"/>
      <w:sz w:val="18"/>
      <w:szCs w:val="18"/>
    </w:rPr>
  </w:style>
  <w:style w:type="paragraph" w:styleId="Index6">
    <w:name w:val="index 6"/>
    <w:basedOn w:val="Normal"/>
    <w:next w:val="Normal"/>
    <w:autoRedefine/>
    <w:rsid w:val="004A15FA"/>
    <w:pPr>
      <w:ind w:left="1440" w:hanging="240"/>
    </w:pPr>
    <w:rPr>
      <w:rFonts w:eastAsia="Times New Roman" w:cs="Times New Roman"/>
      <w:sz w:val="18"/>
      <w:szCs w:val="18"/>
    </w:rPr>
  </w:style>
  <w:style w:type="paragraph" w:styleId="Index7">
    <w:name w:val="index 7"/>
    <w:basedOn w:val="Normal"/>
    <w:next w:val="Normal"/>
    <w:autoRedefine/>
    <w:rsid w:val="004A15FA"/>
    <w:pPr>
      <w:ind w:left="1680" w:hanging="240"/>
    </w:pPr>
    <w:rPr>
      <w:rFonts w:eastAsia="Times New Roman" w:cs="Times New Roman"/>
      <w:sz w:val="18"/>
      <w:szCs w:val="18"/>
    </w:rPr>
  </w:style>
  <w:style w:type="paragraph" w:styleId="Index8">
    <w:name w:val="index 8"/>
    <w:basedOn w:val="Normal"/>
    <w:next w:val="Normal"/>
    <w:autoRedefine/>
    <w:rsid w:val="004A15FA"/>
    <w:pPr>
      <w:ind w:left="1920" w:hanging="240"/>
    </w:pPr>
    <w:rPr>
      <w:rFonts w:eastAsia="Times New Roman" w:cs="Times New Roman"/>
      <w:sz w:val="18"/>
      <w:szCs w:val="18"/>
    </w:rPr>
  </w:style>
  <w:style w:type="paragraph" w:styleId="Index9">
    <w:name w:val="index 9"/>
    <w:basedOn w:val="Normal"/>
    <w:next w:val="Normal"/>
    <w:autoRedefine/>
    <w:rsid w:val="004A15FA"/>
    <w:pPr>
      <w:ind w:left="2160" w:hanging="240"/>
    </w:pPr>
    <w:rPr>
      <w:rFonts w:eastAsia="Times New Roman" w:cs="Times New Roman"/>
      <w:sz w:val="18"/>
      <w:szCs w:val="18"/>
    </w:rPr>
  </w:style>
  <w:style w:type="paragraph" w:styleId="IndexHeading">
    <w:name w:val="index heading"/>
    <w:basedOn w:val="Normal"/>
    <w:next w:val="Index1"/>
    <w:rsid w:val="004A15FA"/>
    <w:pPr>
      <w:spacing w:before="240" w:after="120"/>
      <w:jc w:val="center"/>
    </w:pPr>
    <w:rPr>
      <w:rFonts w:eastAsia="Times New Roman" w:cs="Times New Roman"/>
      <w:b/>
      <w:bCs/>
      <w:sz w:val="26"/>
      <w:szCs w:val="26"/>
    </w:rPr>
  </w:style>
  <w:style w:type="character" w:customStyle="1" w:styleId="TabletitleChar2">
    <w:name w:val="Table title Char2"/>
    <w:rsid w:val="004A15FA"/>
    <w:rPr>
      <w:bCs/>
      <w:sz w:val="24"/>
      <w:szCs w:val="24"/>
      <w:lang w:val="en-US" w:eastAsia="en-US" w:bidi="ar-SA"/>
    </w:rPr>
  </w:style>
  <w:style w:type="paragraph" w:styleId="ListContinue2">
    <w:name w:val="List Continue 2"/>
    <w:basedOn w:val="Normal"/>
    <w:rsid w:val="004A15FA"/>
    <w:pPr>
      <w:spacing w:after="120"/>
      <w:ind w:left="720"/>
    </w:pPr>
    <w:rPr>
      <w:rFonts w:eastAsia="Times New Roman" w:cs="Times New Roman"/>
      <w:szCs w:val="24"/>
    </w:rPr>
  </w:style>
  <w:style w:type="paragraph" w:customStyle="1" w:styleId="Julie4">
    <w:name w:val="Julie 4"/>
    <w:basedOn w:val="Normal"/>
    <w:rsid w:val="004A15FA"/>
    <w:rPr>
      <w:rFonts w:eastAsia="Times New Roman" w:cs="Times New Roman"/>
      <w:szCs w:val="24"/>
    </w:rPr>
  </w:style>
  <w:style w:type="paragraph" w:customStyle="1" w:styleId="PropNorm">
    <w:name w:val="PropNorm"/>
    <w:basedOn w:val="Default"/>
    <w:next w:val="Default"/>
    <w:rsid w:val="004A15FA"/>
    <w:rPr>
      <w:rFonts w:ascii="COIHJI+TimesNewRoman" w:hAnsi="COIHJI+TimesNewRoman"/>
      <w:color w:val="auto"/>
    </w:rPr>
  </w:style>
  <w:style w:type="paragraph" w:customStyle="1" w:styleId="WPDefaults">
    <w:name w:val="WP Defaults"/>
    <w:basedOn w:val="Normal"/>
    <w:rsid w:val="004A15FA"/>
    <w:rPr>
      <w:rFonts w:eastAsia="Times New Roman" w:cs="Times New Roman"/>
      <w:szCs w:val="20"/>
      <w:lang w:val="en-GB"/>
    </w:rPr>
  </w:style>
  <w:style w:type="paragraph" w:customStyle="1" w:styleId="MyTOC1">
    <w:name w:val="My TOC1"/>
    <w:basedOn w:val="Normal"/>
    <w:next w:val="Normal"/>
    <w:autoRedefine/>
    <w:rsid w:val="004A15FA"/>
    <w:pPr>
      <w:widowControl w:val="0"/>
      <w:autoSpaceDE w:val="0"/>
      <w:autoSpaceDN w:val="0"/>
      <w:adjustRightInd w:val="0"/>
    </w:pPr>
    <w:rPr>
      <w:rFonts w:eastAsia="Times New Roman" w:cs="Times New Roman"/>
      <w:b/>
      <w:caps/>
      <w:szCs w:val="24"/>
    </w:rPr>
  </w:style>
  <w:style w:type="paragraph" w:customStyle="1" w:styleId="MyTOC2">
    <w:name w:val="My TOC2"/>
    <w:basedOn w:val="Normal"/>
    <w:next w:val="Normal"/>
    <w:autoRedefine/>
    <w:rsid w:val="004A15FA"/>
    <w:pPr>
      <w:widowControl w:val="0"/>
      <w:numPr>
        <w:ilvl w:val="12"/>
      </w:numPr>
      <w:autoSpaceDE w:val="0"/>
      <w:autoSpaceDN w:val="0"/>
      <w:adjustRightInd w:val="0"/>
      <w:ind w:left="360"/>
    </w:pPr>
    <w:rPr>
      <w:rFonts w:eastAsia="Times New Roman" w:cs="Times New Roman"/>
      <w:b/>
      <w:bCs/>
      <w:szCs w:val="24"/>
    </w:rPr>
  </w:style>
  <w:style w:type="paragraph" w:customStyle="1" w:styleId="MyTOC3">
    <w:name w:val="My TOC3"/>
    <w:basedOn w:val="Normal"/>
    <w:next w:val="Normal"/>
    <w:autoRedefine/>
    <w:rsid w:val="004A15FA"/>
    <w:pPr>
      <w:widowControl w:val="0"/>
      <w:autoSpaceDE w:val="0"/>
      <w:autoSpaceDN w:val="0"/>
      <w:adjustRightInd w:val="0"/>
    </w:pPr>
    <w:rPr>
      <w:rFonts w:eastAsia="Times New Roman" w:cs="Times New Roman"/>
      <w:b/>
      <w:bCs/>
      <w:szCs w:val="20"/>
    </w:rPr>
  </w:style>
  <w:style w:type="paragraph" w:customStyle="1" w:styleId="Outline3">
    <w:name w:val="Outline 3"/>
    <w:basedOn w:val="Normal"/>
    <w:rsid w:val="004A15FA"/>
    <w:pPr>
      <w:ind w:left="2160"/>
    </w:pPr>
    <w:rPr>
      <w:rFonts w:eastAsia="Times New Roman" w:cs="Times New Roman"/>
      <w:sz w:val="20"/>
      <w:szCs w:val="20"/>
      <w:lang w:val="en-GB"/>
    </w:rPr>
  </w:style>
  <w:style w:type="paragraph" w:customStyle="1" w:styleId="Document3">
    <w:name w:val="Document[3]"/>
    <w:rsid w:val="004A15FA"/>
    <w:rPr>
      <w:rFonts w:ascii="Courier" w:eastAsia="Times New Roman" w:hAnsi="Courier" w:cs="Times New Roman"/>
      <w:b/>
      <w:sz w:val="24"/>
      <w:szCs w:val="24"/>
    </w:rPr>
  </w:style>
  <w:style w:type="character" w:customStyle="1" w:styleId="CharChar27">
    <w:name w:val="Char Char27"/>
    <w:locked/>
    <w:rsid w:val="004A15FA"/>
    <w:rPr>
      <w:rFonts w:ascii="Arial" w:hAnsi="Arial" w:cs="Arial"/>
      <w:b/>
      <w:bCs/>
      <w:kern w:val="32"/>
      <w:sz w:val="32"/>
      <w:szCs w:val="32"/>
    </w:rPr>
  </w:style>
  <w:style w:type="character" w:customStyle="1" w:styleId="CharChar26">
    <w:name w:val="Char Char26"/>
    <w:locked/>
    <w:rsid w:val="004A15FA"/>
    <w:rPr>
      <w:rFonts w:ascii="Arial" w:hAnsi="Arial" w:cs="Arial"/>
      <w:b/>
      <w:bCs/>
      <w:i/>
      <w:iCs/>
      <w:sz w:val="28"/>
      <w:szCs w:val="28"/>
    </w:rPr>
  </w:style>
  <w:style w:type="character" w:customStyle="1" w:styleId="CharChar25">
    <w:name w:val="Char Char25"/>
    <w:locked/>
    <w:rsid w:val="004A15FA"/>
    <w:rPr>
      <w:rFonts w:ascii="Arial" w:hAnsi="Arial" w:cs="Arial"/>
      <w:b/>
      <w:bCs/>
      <w:sz w:val="26"/>
      <w:szCs w:val="26"/>
    </w:rPr>
  </w:style>
  <w:style w:type="character" w:customStyle="1" w:styleId="Heading4CharCharCharChar1">
    <w:name w:val="Heading 4 Char Char Char Char1"/>
    <w:locked/>
    <w:rsid w:val="004A15FA"/>
    <w:rPr>
      <w:rFonts w:cs="Times New Roman"/>
      <w:b/>
      <w:bCs/>
      <w:sz w:val="28"/>
      <w:szCs w:val="28"/>
    </w:rPr>
  </w:style>
  <w:style w:type="character" w:customStyle="1" w:styleId="CharChar24">
    <w:name w:val="Char Char24"/>
    <w:locked/>
    <w:rsid w:val="004A15FA"/>
    <w:rPr>
      <w:rFonts w:cs="Times New Roman"/>
      <w:b/>
      <w:bCs/>
      <w:i/>
      <w:iCs/>
      <w:sz w:val="26"/>
      <w:szCs w:val="26"/>
    </w:rPr>
  </w:style>
  <w:style w:type="character" w:customStyle="1" w:styleId="CharChar23">
    <w:name w:val="Char Char23"/>
    <w:locked/>
    <w:rsid w:val="004A15FA"/>
    <w:rPr>
      <w:rFonts w:cs="Times New Roman"/>
      <w:b/>
      <w:bCs/>
      <w:sz w:val="22"/>
      <w:szCs w:val="22"/>
    </w:rPr>
  </w:style>
  <w:style w:type="character" w:customStyle="1" w:styleId="CharChar22">
    <w:name w:val="Char Char22"/>
    <w:locked/>
    <w:rsid w:val="004A15FA"/>
    <w:rPr>
      <w:rFonts w:cs="Times New Roman"/>
      <w:sz w:val="24"/>
      <w:szCs w:val="24"/>
    </w:rPr>
  </w:style>
  <w:style w:type="character" w:customStyle="1" w:styleId="CharChar21">
    <w:name w:val="Char Char21"/>
    <w:locked/>
    <w:rsid w:val="004A15FA"/>
    <w:rPr>
      <w:rFonts w:cs="Times New Roman"/>
      <w:i/>
      <w:iCs/>
      <w:sz w:val="24"/>
      <w:szCs w:val="24"/>
    </w:rPr>
  </w:style>
  <w:style w:type="character" w:customStyle="1" w:styleId="CharChar20">
    <w:name w:val="Char Char20"/>
    <w:locked/>
    <w:rsid w:val="004A15FA"/>
    <w:rPr>
      <w:rFonts w:ascii="Arial" w:hAnsi="Arial" w:cs="Arial"/>
      <w:sz w:val="22"/>
      <w:szCs w:val="22"/>
    </w:rPr>
  </w:style>
  <w:style w:type="character" w:customStyle="1" w:styleId="CharChar18">
    <w:name w:val="Char Char18"/>
    <w:locked/>
    <w:rsid w:val="004A15FA"/>
    <w:rPr>
      <w:rFonts w:cs="Times New Roman"/>
      <w:sz w:val="24"/>
      <w:szCs w:val="24"/>
    </w:rPr>
  </w:style>
  <w:style w:type="character" w:customStyle="1" w:styleId="CharChar14">
    <w:name w:val="Char Char14"/>
    <w:locked/>
    <w:rsid w:val="004A15FA"/>
    <w:rPr>
      <w:rFonts w:cs="Times New Roman"/>
      <w:sz w:val="24"/>
      <w:szCs w:val="24"/>
    </w:rPr>
  </w:style>
  <w:style w:type="character" w:customStyle="1" w:styleId="CharChar11">
    <w:name w:val="Char Char11"/>
    <w:locked/>
    <w:rsid w:val="004A15FA"/>
    <w:rPr>
      <w:rFonts w:ascii="Cambria" w:hAnsi="Cambria" w:cs="Times New Roman"/>
      <w:sz w:val="24"/>
      <w:szCs w:val="24"/>
    </w:rPr>
  </w:style>
  <w:style w:type="character" w:customStyle="1" w:styleId="CharChar4">
    <w:name w:val="Char Char4"/>
    <w:locked/>
    <w:rsid w:val="004A15FA"/>
    <w:rPr>
      <w:rFonts w:ascii="Cambria" w:hAnsi="Cambria" w:cs="Times New Roman"/>
      <w:b/>
      <w:bCs/>
      <w:kern w:val="28"/>
      <w:sz w:val="32"/>
      <w:szCs w:val="32"/>
    </w:rPr>
  </w:style>
  <w:style w:type="character" w:customStyle="1" w:styleId="CharChar13">
    <w:name w:val="Char Char13"/>
    <w:uiPriority w:val="99"/>
    <w:rsid w:val="004A15FA"/>
    <w:rPr>
      <w:rFonts w:eastAsia="Times New Roman" w:cs="Times New Roman"/>
      <w:bCs/>
      <w:i/>
      <w:sz w:val="28"/>
      <w:szCs w:val="28"/>
      <w:lang w:val="en-US" w:eastAsia="en-US" w:bidi="ar-SA"/>
    </w:rPr>
  </w:style>
  <w:style w:type="character" w:customStyle="1" w:styleId="Heading4Char1">
    <w:name w:val="Heading 4 Char1"/>
    <w:aliases w:val="Heading 4 Char Char Char1"/>
    <w:rsid w:val="004A15FA"/>
    <w:rPr>
      <w:b/>
      <w:bCs/>
      <w:sz w:val="28"/>
      <w:szCs w:val="28"/>
      <w:lang w:val="en-US" w:eastAsia="en-US" w:bidi="ar-SA"/>
    </w:rPr>
  </w:style>
  <w:style w:type="paragraph" w:styleId="ListBullet2">
    <w:name w:val="List Bullet 2"/>
    <w:basedOn w:val="Normal"/>
    <w:autoRedefine/>
    <w:rsid w:val="004A15FA"/>
    <w:pPr>
      <w:tabs>
        <w:tab w:val="num" w:pos="720"/>
      </w:tabs>
      <w:ind w:left="720" w:hanging="360"/>
    </w:pPr>
    <w:rPr>
      <w:rFonts w:eastAsia="Times New Roman" w:cs="Times New Roman"/>
      <w:szCs w:val="24"/>
    </w:rPr>
  </w:style>
  <w:style w:type="paragraph" w:styleId="ListBullet3">
    <w:name w:val="List Bullet 3"/>
    <w:basedOn w:val="Normal"/>
    <w:autoRedefine/>
    <w:rsid w:val="004A15FA"/>
    <w:pPr>
      <w:tabs>
        <w:tab w:val="num" w:pos="1080"/>
      </w:tabs>
      <w:ind w:left="1080" w:hanging="360"/>
    </w:pPr>
    <w:rPr>
      <w:rFonts w:eastAsia="Times New Roman" w:cs="Times New Roman"/>
      <w:szCs w:val="24"/>
    </w:rPr>
  </w:style>
  <w:style w:type="paragraph" w:styleId="ListBullet5">
    <w:name w:val="List Bullet 5"/>
    <w:basedOn w:val="Normal"/>
    <w:autoRedefine/>
    <w:rsid w:val="004A15FA"/>
    <w:pPr>
      <w:tabs>
        <w:tab w:val="num" w:pos="1800"/>
      </w:tabs>
      <w:ind w:left="1800" w:hanging="360"/>
    </w:pPr>
    <w:rPr>
      <w:rFonts w:eastAsia="Times New Roman" w:cs="Times New Roman"/>
      <w:szCs w:val="24"/>
    </w:rPr>
  </w:style>
  <w:style w:type="paragraph" w:styleId="ListNumber">
    <w:name w:val="List Number"/>
    <w:basedOn w:val="Normal"/>
    <w:rsid w:val="004A15FA"/>
    <w:pPr>
      <w:tabs>
        <w:tab w:val="num" w:pos="360"/>
      </w:tabs>
      <w:ind w:left="360" w:hanging="360"/>
    </w:pPr>
    <w:rPr>
      <w:rFonts w:eastAsia="Times New Roman" w:cs="Times New Roman"/>
      <w:szCs w:val="24"/>
    </w:rPr>
  </w:style>
  <w:style w:type="paragraph" w:styleId="ListNumber2">
    <w:name w:val="List Number 2"/>
    <w:basedOn w:val="Normal"/>
    <w:rsid w:val="004A15FA"/>
    <w:pPr>
      <w:tabs>
        <w:tab w:val="num" w:pos="720"/>
      </w:tabs>
      <w:ind w:left="720" w:hanging="360"/>
    </w:pPr>
    <w:rPr>
      <w:rFonts w:eastAsia="Times New Roman" w:cs="Times New Roman"/>
      <w:szCs w:val="24"/>
    </w:rPr>
  </w:style>
  <w:style w:type="paragraph" w:styleId="ListNumber3">
    <w:name w:val="List Number 3"/>
    <w:basedOn w:val="Normal"/>
    <w:rsid w:val="004A15FA"/>
    <w:pPr>
      <w:tabs>
        <w:tab w:val="num" w:pos="1080"/>
      </w:tabs>
      <w:ind w:left="1080" w:hanging="360"/>
    </w:pPr>
    <w:rPr>
      <w:rFonts w:eastAsia="Times New Roman" w:cs="Times New Roman"/>
      <w:szCs w:val="24"/>
    </w:rPr>
  </w:style>
  <w:style w:type="paragraph" w:styleId="ListNumber4">
    <w:name w:val="List Number 4"/>
    <w:basedOn w:val="Normal"/>
    <w:rsid w:val="004A15FA"/>
    <w:pPr>
      <w:tabs>
        <w:tab w:val="num" w:pos="1440"/>
      </w:tabs>
      <w:ind w:left="1440" w:hanging="360"/>
    </w:pPr>
    <w:rPr>
      <w:rFonts w:eastAsia="Times New Roman" w:cs="Times New Roman"/>
      <w:szCs w:val="24"/>
    </w:rPr>
  </w:style>
  <w:style w:type="paragraph" w:styleId="ListNumber5">
    <w:name w:val="List Number 5"/>
    <w:basedOn w:val="Normal"/>
    <w:rsid w:val="004A15FA"/>
    <w:pPr>
      <w:tabs>
        <w:tab w:val="num" w:pos="1800"/>
      </w:tabs>
      <w:ind w:left="1800" w:hanging="360"/>
    </w:pPr>
    <w:rPr>
      <w:rFonts w:eastAsia="Times New Roman" w:cs="Times New Roman"/>
      <w:szCs w:val="24"/>
    </w:rPr>
  </w:style>
  <w:style w:type="paragraph" w:customStyle="1" w:styleId="Default1">
    <w:name w:val="Default1"/>
    <w:basedOn w:val="Default"/>
    <w:next w:val="Default"/>
    <w:rsid w:val="004A15FA"/>
    <w:rPr>
      <w:color w:val="auto"/>
    </w:rPr>
  </w:style>
  <w:style w:type="paragraph" w:customStyle="1" w:styleId="tabletitle0">
    <w:name w:val="tabletitle"/>
    <w:basedOn w:val="Normal"/>
    <w:rsid w:val="004A15FA"/>
    <w:rPr>
      <w:rFonts w:eastAsia="Times New Roman" w:cs="Times New Roman"/>
      <w:szCs w:val="24"/>
    </w:rPr>
  </w:style>
  <w:style w:type="paragraph" w:customStyle="1" w:styleId="default0">
    <w:name w:val="default"/>
    <w:basedOn w:val="Normal"/>
    <w:rsid w:val="004A15FA"/>
    <w:pPr>
      <w:autoSpaceDE w:val="0"/>
      <w:autoSpaceDN w:val="0"/>
    </w:pPr>
    <w:rPr>
      <w:rFonts w:eastAsia="Times New Roman" w:cs="Times New Roman"/>
      <w:color w:val="000000"/>
      <w:szCs w:val="24"/>
    </w:rPr>
  </w:style>
  <w:style w:type="character" w:customStyle="1" w:styleId="Heading1Char1">
    <w:name w:val="Heading 1 Char1"/>
    <w:rsid w:val="004A15FA"/>
    <w:rPr>
      <w:b/>
      <w:bCs/>
      <w:color w:val="8DB3E2"/>
      <w:kern w:val="32"/>
      <w:sz w:val="36"/>
      <w:szCs w:val="36"/>
    </w:rPr>
  </w:style>
  <w:style w:type="character" w:customStyle="1" w:styleId="CharChar39">
    <w:name w:val="Char Char39"/>
    <w:rsid w:val="004A15FA"/>
    <w:rPr>
      <w:rFonts w:ascii="Arial" w:eastAsia="Times New Roman" w:hAnsi="Arial" w:cs="Arial"/>
      <w:b/>
      <w:bCs/>
      <w:i/>
      <w:iCs/>
      <w:sz w:val="28"/>
      <w:szCs w:val="28"/>
    </w:rPr>
  </w:style>
  <w:style w:type="paragraph" w:customStyle="1" w:styleId="ColorfulList-Accent11">
    <w:name w:val="Colorful List - Accent 11"/>
    <w:basedOn w:val="Normal"/>
    <w:uiPriority w:val="34"/>
    <w:qFormat/>
    <w:rsid w:val="004A15FA"/>
    <w:pPr>
      <w:ind w:left="720"/>
      <w:contextualSpacing/>
    </w:pPr>
    <w:rPr>
      <w:rFonts w:ascii="Calibri" w:eastAsia="Calibri" w:hAnsi="Calibri" w:cs="Times New Roman"/>
      <w:sz w:val="22"/>
    </w:rPr>
  </w:style>
  <w:style w:type="character" w:customStyle="1" w:styleId="StyleHeading4Char1Heading4CharCharChar112pt">
    <w:name w:val="Style Heading 4 Char1Heading 4 Char Char Char1 + 12 pt"/>
    <w:qFormat/>
    <w:rsid w:val="004A15FA"/>
    <w:rPr>
      <w:b w:val="0"/>
      <w:bCs w:val="0"/>
      <w:sz w:val="24"/>
      <w:szCs w:val="28"/>
      <w:lang w:val="en-US" w:eastAsia="en-US" w:bidi="ar-SA"/>
    </w:rPr>
  </w:style>
  <w:style w:type="paragraph" w:customStyle="1" w:styleId="NoSpacing1">
    <w:name w:val="No Spacing1"/>
    <w:uiPriority w:val="99"/>
    <w:qFormat/>
    <w:rsid w:val="004A15FA"/>
    <w:rPr>
      <w:rFonts w:ascii="Times New Roman" w:eastAsia="Times New Roman" w:hAnsi="Times New Roman" w:cs="Times New Roman"/>
      <w:sz w:val="24"/>
      <w:szCs w:val="24"/>
    </w:rPr>
  </w:style>
  <w:style w:type="paragraph" w:customStyle="1" w:styleId="ColorfulShading-Accent11">
    <w:name w:val="Colorful Shading - Accent 11"/>
    <w:hidden/>
    <w:uiPriority w:val="99"/>
    <w:rsid w:val="004A15FA"/>
    <w:rPr>
      <w:rFonts w:ascii="Times New Roman" w:eastAsia="Times New Roman" w:hAnsi="Times New Roman" w:cs="Times New Roman"/>
      <w:sz w:val="24"/>
      <w:szCs w:val="24"/>
    </w:rPr>
  </w:style>
  <w:style w:type="paragraph" w:customStyle="1" w:styleId="Nothing">
    <w:name w:val="Nothing"/>
    <w:basedOn w:val="Heading1"/>
    <w:rsid w:val="004A15FA"/>
    <w:pPr>
      <w:keepNext w:val="0"/>
      <w:spacing w:before="0" w:after="0"/>
    </w:pPr>
    <w:rPr>
      <w:rFonts w:ascii="Times Roman" w:hAnsi="Times Roman" w:cs="Times Roman"/>
      <w:b w:val="0"/>
      <w:bCs w:val="0"/>
      <w:color w:val="000000"/>
      <w:kern w:val="0"/>
      <w:szCs w:val="20"/>
    </w:rPr>
  </w:style>
  <w:style w:type="character" w:customStyle="1" w:styleId="StyleHeading3CharTimesNewRoman12pt">
    <w:name w:val="Style Heading 3 Char + Times New Roman 12 pt"/>
    <w:qFormat/>
    <w:rsid w:val="004A15FA"/>
    <w:rPr>
      <w:rFonts w:ascii="Times New Roman" w:hAnsi="Times New Roman" w:cs="Arial" w:hint="default"/>
      <w:b/>
      <w:bCs/>
      <w:sz w:val="24"/>
      <w:szCs w:val="26"/>
      <w:lang w:val="en-US" w:eastAsia="en-US" w:bidi="ar-SA"/>
    </w:rPr>
  </w:style>
  <w:style w:type="character" w:customStyle="1" w:styleId="EmailStyle3411">
    <w:name w:val="EmailStyle3411"/>
    <w:semiHidden/>
    <w:rsid w:val="004A15FA"/>
    <w:rPr>
      <w:rFonts w:ascii="Arial" w:hAnsi="Arial" w:cs="Arial" w:hint="default"/>
      <w:color w:val="auto"/>
      <w:sz w:val="20"/>
      <w:szCs w:val="20"/>
    </w:rPr>
  </w:style>
  <w:style w:type="character" w:customStyle="1" w:styleId="CharChar271">
    <w:name w:val="Char Char271"/>
    <w:uiPriority w:val="99"/>
    <w:locked/>
    <w:rsid w:val="004A15FA"/>
    <w:rPr>
      <w:rFonts w:ascii="Arial" w:hAnsi="Arial" w:cs="Arial"/>
      <w:b/>
      <w:bCs/>
      <w:kern w:val="32"/>
      <w:sz w:val="32"/>
      <w:szCs w:val="32"/>
    </w:rPr>
  </w:style>
  <w:style w:type="character" w:customStyle="1" w:styleId="CharChar261">
    <w:name w:val="Char Char261"/>
    <w:uiPriority w:val="99"/>
    <w:locked/>
    <w:rsid w:val="004A15FA"/>
    <w:rPr>
      <w:rFonts w:ascii="Arial" w:hAnsi="Arial" w:cs="Arial"/>
      <w:b/>
      <w:bCs/>
      <w:i/>
      <w:iCs/>
      <w:sz w:val="28"/>
      <w:szCs w:val="28"/>
    </w:rPr>
  </w:style>
  <w:style w:type="character" w:customStyle="1" w:styleId="CharChar251">
    <w:name w:val="Char Char251"/>
    <w:uiPriority w:val="99"/>
    <w:locked/>
    <w:rsid w:val="004A15FA"/>
    <w:rPr>
      <w:rFonts w:ascii="Arial" w:hAnsi="Arial" w:cs="Arial"/>
      <w:b/>
      <w:bCs/>
      <w:sz w:val="26"/>
      <w:szCs w:val="26"/>
    </w:rPr>
  </w:style>
  <w:style w:type="character" w:customStyle="1" w:styleId="CharChar241">
    <w:name w:val="Char Char241"/>
    <w:uiPriority w:val="99"/>
    <w:locked/>
    <w:rsid w:val="004A15FA"/>
    <w:rPr>
      <w:rFonts w:cs="Times New Roman"/>
      <w:b/>
      <w:bCs/>
      <w:i/>
      <w:iCs/>
      <w:sz w:val="26"/>
      <w:szCs w:val="26"/>
    </w:rPr>
  </w:style>
  <w:style w:type="character" w:customStyle="1" w:styleId="CharChar231">
    <w:name w:val="Char Char231"/>
    <w:uiPriority w:val="99"/>
    <w:locked/>
    <w:rsid w:val="004A15FA"/>
    <w:rPr>
      <w:rFonts w:cs="Times New Roman"/>
      <w:b/>
      <w:bCs/>
      <w:sz w:val="22"/>
      <w:szCs w:val="22"/>
    </w:rPr>
  </w:style>
  <w:style w:type="character" w:customStyle="1" w:styleId="CharChar221">
    <w:name w:val="Char Char221"/>
    <w:uiPriority w:val="99"/>
    <w:locked/>
    <w:rsid w:val="004A15FA"/>
    <w:rPr>
      <w:rFonts w:cs="Times New Roman"/>
      <w:sz w:val="24"/>
      <w:szCs w:val="24"/>
    </w:rPr>
  </w:style>
  <w:style w:type="character" w:customStyle="1" w:styleId="CharChar211">
    <w:name w:val="Char Char211"/>
    <w:uiPriority w:val="99"/>
    <w:locked/>
    <w:rsid w:val="004A15FA"/>
    <w:rPr>
      <w:rFonts w:cs="Times New Roman"/>
      <w:i/>
      <w:iCs/>
      <w:sz w:val="24"/>
      <w:szCs w:val="24"/>
    </w:rPr>
  </w:style>
  <w:style w:type="character" w:customStyle="1" w:styleId="CharChar201">
    <w:name w:val="Char Char201"/>
    <w:uiPriority w:val="99"/>
    <w:locked/>
    <w:rsid w:val="004A15FA"/>
    <w:rPr>
      <w:rFonts w:ascii="Arial" w:hAnsi="Arial" w:cs="Arial"/>
      <w:sz w:val="22"/>
      <w:szCs w:val="22"/>
    </w:rPr>
  </w:style>
  <w:style w:type="character" w:customStyle="1" w:styleId="CharChar181">
    <w:name w:val="Char Char181"/>
    <w:uiPriority w:val="99"/>
    <w:locked/>
    <w:rsid w:val="004A15FA"/>
    <w:rPr>
      <w:rFonts w:cs="Times New Roman"/>
      <w:sz w:val="24"/>
      <w:szCs w:val="24"/>
    </w:rPr>
  </w:style>
  <w:style w:type="character" w:customStyle="1" w:styleId="CharChar141">
    <w:name w:val="Char Char141"/>
    <w:uiPriority w:val="99"/>
    <w:locked/>
    <w:rsid w:val="004A15FA"/>
    <w:rPr>
      <w:rFonts w:cs="Times New Roman"/>
      <w:sz w:val="24"/>
      <w:szCs w:val="24"/>
    </w:rPr>
  </w:style>
  <w:style w:type="character" w:customStyle="1" w:styleId="CharChar111">
    <w:name w:val="Char Char111"/>
    <w:uiPriority w:val="99"/>
    <w:locked/>
    <w:rsid w:val="004A15FA"/>
    <w:rPr>
      <w:rFonts w:ascii="Cambria" w:hAnsi="Cambria" w:cs="Times New Roman"/>
      <w:sz w:val="24"/>
      <w:szCs w:val="24"/>
    </w:rPr>
  </w:style>
  <w:style w:type="character" w:customStyle="1" w:styleId="CharChar41">
    <w:name w:val="Char Char41"/>
    <w:uiPriority w:val="99"/>
    <w:locked/>
    <w:rsid w:val="004A15FA"/>
    <w:rPr>
      <w:rFonts w:ascii="Cambria" w:hAnsi="Cambria" w:cs="Times New Roman"/>
      <w:b/>
      <w:bCs/>
      <w:kern w:val="28"/>
      <w:sz w:val="32"/>
      <w:szCs w:val="32"/>
    </w:rPr>
  </w:style>
  <w:style w:type="character" w:customStyle="1" w:styleId="CharChar12">
    <w:name w:val="Char Char12"/>
    <w:uiPriority w:val="99"/>
    <w:rsid w:val="004A15FA"/>
    <w:rPr>
      <w:rFonts w:eastAsia="Times New Roman" w:cs="Times New Roman"/>
      <w:bCs/>
      <w:i/>
      <w:sz w:val="28"/>
      <w:szCs w:val="28"/>
      <w:lang w:val="en-US" w:eastAsia="en-US" w:bidi="ar-SA"/>
    </w:rPr>
  </w:style>
  <w:style w:type="character" w:customStyle="1" w:styleId="CharChar391">
    <w:name w:val="Char Char391"/>
    <w:uiPriority w:val="99"/>
    <w:rsid w:val="004A15FA"/>
    <w:rPr>
      <w:rFonts w:ascii="Arial" w:eastAsia="Times New Roman" w:hAnsi="Arial" w:cs="Arial"/>
      <w:b/>
      <w:bCs/>
      <w:i/>
      <w:iCs/>
      <w:sz w:val="28"/>
      <w:szCs w:val="28"/>
    </w:rPr>
  </w:style>
  <w:style w:type="character" w:customStyle="1" w:styleId="EmailStyle356">
    <w:name w:val="EmailStyle356"/>
    <w:semiHidden/>
    <w:rsid w:val="004A15FA"/>
    <w:rPr>
      <w:rFonts w:ascii="Arial" w:hAnsi="Arial" w:cs="Arial" w:hint="default"/>
      <w:color w:val="auto"/>
      <w:sz w:val="20"/>
      <w:szCs w:val="20"/>
    </w:rPr>
  </w:style>
  <w:style w:type="character" w:customStyle="1" w:styleId="EmailStyle357">
    <w:name w:val="EmailStyle357"/>
    <w:semiHidden/>
    <w:rsid w:val="004A15FA"/>
    <w:rPr>
      <w:rFonts w:ascii="Arial" w:hAnsi="Arial" w:cs="Arial" w:hint="default"/>
      <w:color w:val="auto"/>
      <w:sz w:val="20"/>
      <w:szCs w:val="20"/>
    </w:rPr>
  </w:style>
  <w:style w:type="table" w:styleId="TableList1">
    <w:name w:val="Table List 1"/>
    <w:basedOn w:val="TableNormal"/>
    <w:uiPriority w:val="99"/>
    <w:rsid w:val="004A15FA"/>
    <w:rPr>
      <w:rFonts w:ascii="Times New Roman" w:eastAsia="Times New Roman" w:hAnsi="Times New Roman" w:cs="Times New Roman"/>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4A15FA"/>
    <w:rPr>
      <w:rFonts w:ascii="Times New Roman" w:eastAsia="Times New Roman" w:hAnsi="Times New Roman" w:cs="Times New Roman"/>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A15FA"/>
    <w:rPr>
      <w:rFonts w:ascii="Times New Roman" w:eastAsia="Times New Roman" w:hAnsi="Times New Roman"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A15FA"/>
    <w:rPr>
      <w:rFonts w:ascii="Times New Roman" w:eastAsia="Times New Roman" w:hAnsi="Times New Roman" w:cs="Times New Roman"/>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uiPriority w:val="99"/>
    <w:rsid w:val="004A15FA"/>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4A15FA"/>
    <w:rPr>
      <w:rFonts w:ascii="Times New Roman" w:eastAsia="Times New Roman" w:hAnsi="Times New Roman" w:cs="Times New Roman"/>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A15FA"/>
    <w:rPr>
      <w:rFonts w:ascii="Times New Roman" w:eastAsia="Times New Roman" w:hAnsi="Times New Roman" w:cs="Times New Roman"/>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3">
    <w:name w:val="Table Columns 3"/>
    <w:basedOn w:val="TableNormal"/>
    <w:rsid w:val="004A15FA"/>
    <w:rPr>
      <w:rFonts w:ascii="Times New Roman" w:eastAsia="Times New Roman" w:hAnsi="Times New Roman"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DarkList-Accent3">
    <w:name w:val="Dark List Accent 3"/>
    <w:basedOn w:val="TableNormal"/>
    <w:uiPriority w:val="71"/>
    <w:rsid w:val="004A15FA"/>
    <w:rPr>
      <w:rFonts w:ascii="Times New Roman" w:eastAsia="Times New Roman" w:hAnsi="Times New Roman" w:cs="Times New Roman"/>
      <w:color w:val="000000"/>
      <w:sz w:val="24"/>
      <w:szCs w:val="24"/>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HTMLCite">
    <w:name w:val="HTML Cite"/>
    <w:uiPriority w:val="99"/>
    <w:unhideWhenUsed/>
    <w:rsid w:val="004A15FA"/>
    <w:rPr>
      <w:b w:val="0"/>
      <w:bCs w:val="0"/>
      <w:i w:val="0"/>
      <w:iCs w:val="0"/>
      <w:vanish w:val="0"/>
      <w:webHidden w:val="0"/>
      <w:specVanish w:val="0"/>
    </w:rPr>
  </w:style>
  <w:style w:type="character" w:customStyle="1" w:styleId="author">
    <w:name w:val="author"/>
    <w:basedOn w:val="DefaultParagraphFont"/>
    <w:rsid w:val="004A15FA"/>
  </w:style>
  <w:style w:type="character" w:customStyle="1" w:styleId="pubyear">
    <w:name w:val="pubyear"/>
    <w:basedOn w:val="DefaultParagraphFont"/>
    <w:rsid w:val="004A15FA"/>
  </w:style>
  <w:style w:type="character" w:customStyle="1" w:styleId="articletitle5">
    <w:name w:val="articletitle5"/>
    <w:basedOn w:val="DefaultParagraphFont"/>
    <w:rsid w:val="004A15FA"/>
  </w:style>
  <w:style w:type="character" w:customStyle="1" w:styleId="journaltitle3">
    <w:name w:val="journaltitle3"/>
    <w:rsid w:val="004A15FA"/>
    <w:rPr>
      <w:i/>
      <w:iCs/>
    </w:rPr>
  </w:style>
  <w:style w:type="character" w:customStyle="1" w:styleId="vol3">
    <w:name w:val="vol3"/>
    <w:rsid w:val="004A15FA"/>
    <w:rPr>
      <w:b/>
      <w:bCs/>
    </w:rPr>
  </w:style>
  <w:style w:type="character" w:customStyle="1" w:styleId="pagefirst">
    <w:name w:val="pagefirst"/>
    <w:basedOn w:val="DefaultParagraphFont"/>
    <w:rsid w:val="004A15FA"/>
  </w:style>
  <w:style w:type="character" w:customStyle="1" w:styleId="pagelast">
    <w:name w:val="pagelast"/>
    <w:basedOn w:val="DefaultParagraphFont"/>
    <w:rsid w:val="004A15FA"/>
  </w:style>
  <w:style w:type="character" w:customStyle="1" w:styleId="Heading3Char1">
    <w:name w:val="Heading 3 Char1"/>
    <w:rsid w:val="004A15FA"/>
    <w:rPr>
      <w:rFonts w:ascii="Arial" w:hAnsi="Arial"/>
      <w:b/>
      <w:bCs/>
      <w:sz w:val="28"/>
      <w:szCs w:val="28"/>
    </w:rPr>
  </w:style>
  <w:style w:type="paragraph" w:customStyle="1" w:styleId="MediumGrid1-Accent21">
    <w:name w:val="Medium Grid 1 - Accent 21"/>
    <w:basedOn w:val="Normal"/>
    <w:uiPriority w:val="34"/>
    <w:qFormat/>
    <w:rsid w:val="004A15FA"/>
    <w:pPr>
      <w:spacing w:after="200" w:line="276" w:lineRule="auto"/>
      <w:ind w:left="720"/>
      <w:contextualSpacing/>
    </w:pPr>
    <w:rPr>
      <w:rFonts w:ascii="Calibri" w:eastAsia="Calibri" w:hAnsi="Calibri" w:cs="Times New Roman"/>
      <w:sz w:val="22"/>
    </w:rPr>
  </w:style>
  <w:style w:type="character" w:customStyle="1" w:styleId="moz-txt-citetags">
    <w:name w:val="moz-txt-citetags"/>
    <w:basedOn w:val="DefaultParagraphFont"/>
    <w:rsid w:val="004A15FA"/>
  </w:style>
  <w:style w:type="paragraph" w:styleId="TOCHeading">
    <w:name w:val="TOC Heading"/>
    <w:basedOn w:val="Heading1"/>
    <w:next w:val="Normal"/>
    <w:uiPriority w:val="39"/>
    <w:semiHidden/>
    <w:unhideWhenUsed/>
    <w:qFormat/>
    <w:rsid w:val="004A15FA"/>
    <w:pPr>
      <w:keepLines/>
      <w:spacing w:before="480" w:after="0" w:line="276" w:lineRule="auto"/>
      <w:outlineLvl w:val="9"/>
    </w:pPr>
    <w:rPr>
      <w:rFonts w:ascii="Cambria" w:hAnsi="Cambria" w:cs="Times New Roman"/>
      <w:color w:val="365F91"/>
      <w:kern w:val="0"/>
      <w:sz w:val="28"/>
      <w:szCs w:val="28"/>
    </w:rPr>
  </w:style>
  <w:style w:type="paragraph" w:customStyle="1" w:styleId="xl160">
    <w:name w:val="xl160"/>
    <w:basedOn w:val="Normal"/>
    <w:rsid w:val="004A15FA"/>
    <w:pPr>
      <w:pBdr>
        <w:top w:val="single" w:sz="8" w:space="0" w:color="auto"/>
        <w:left w:val="single" w:sz="8" w:space="0" w:color="auto"/>
        <w:right w:val="single" w:sz="12"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1">
    <w:name w:val="xl161"/>
    <w:basedOn w:val="Normal"/>
    <w:rsid w:val="004A15FA"/>
    <w:pPr>
      <w:pBdr>
        <w:left w:val="single" w:sz="12"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2">
    <w:name w:val="xl162"/>
    <w:basedOn w:val="Normal"/>
    <w:rsid w:val="004A15FA"/>
    <w:pPr>
      <w:pBdr>
        <w:left w:val="single" w:sz="8"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3">
    <w:name w:val="xl163"/>
    <w:basedOn w:val="Normal"/>
    <w:rsid w:val="004A15FA"/>
    <w:pPr>
      <w:pBdr>
        <w:left w:val="single" w:sz="8" w:space="0" w:color="auto"/>
        <w:right w:val="single" w:sz="12"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4">
    <w:name w:val="xl164"/>
    <w:basedOn w:val="Normal"/>
    <w:rsid w:val="004A15FA"/>
    <w:pPr>
      <w:pBdr>
        <w:left w:val="single" w:sz="12" w:space="0" w:color="auto"/>
        <w:bottom w:val="single" w:sz="8"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5">
    <w:name w:val="xl165"/>
    <w:basedOn w:val="Normal"/>
    <w:rsid w:val="004A15FA"/>
    <w:pPr>
      <w:pBdr>
        <w:left w:val="single" w:sz="8" w:space="0" w:color="auto"/>
        <w:bottom w:val="single" w:sz="8"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6">
    <w:name w:val="xl166"/>
    <w:basedOn w:val="Normal"/>
    <w:rsid w:val="004A15FA"/>
    <w:pPr>
      <w:pBdr>
        <w:left w:val="single" w:sz="8" w:space="0" w:color="auto"/>
        <w:bottom w:val="single" w:sz="8" w:space="0" w:color="auto"/>
        <w:right w:val="single" w:sz="12"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7">
    <w:name w:val="xl167"/>
    <w:basedOn w:val="Normal"/>
    <w:rsid w:val="004A15FA"/>
    <w:pPr>
      <w:pBdr>
        <w:left w:val="single" w:sz="12"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68">
    <w:name w:val="xl168"/>
    <w:basedOn w:val="Normal"/>
    <w:rsid w:val="004A15FA"/>
    <w:pPr>
      <w:pBdr>
        <w:left w:val="single" w:sz="8"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69">
    <w:name w:val="xl169"/>
    <w:basedOn w:val="Normal"/>
    <w:rsid w:val="004A15FA"/>
    <w:pPr>
      <w:pBdr>
        <w:left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70">
    <w:name w:val="xl170"/>
    <w:basedOn w:val="Normal"/>
    <w:rsid w:val="004A15FA"/>
    <w:pPr>
      <w:pBdr>
        <w:left w:val="single" w:sz="12" w:space="0" w:color="auto"/>
        <w:bottom w:val="single" w:sz="8"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71">
    <w:name w:val="xl171"/>
    <w:basedOn w:val="Normal"/>
    <w:rsid w:val="004A15FA"/>
    <w:pPr>
      <w:pBdr>
        <w:left w:val="single" w:sz="8" w:space="0" w:color="auto"/>
        <w:bottom w:val="single" w:sz="8"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72">
    <w:name w:val="xl172"/>
    <w:basedOn w:val="Normal"/>
    <w:rsid w:val="004A15FA"/>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73">
    <w:name w:val="xl173"/>
    <w:basedOn w:val="Normal"/>
    <w:rsid w:val="004A15FA"/>
    <w:pPr>
      <w:pBdr>
        <w:top w:val="single" w:sz="8" w:space="0" w:color="auto"/>
        <w:lef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4">
    <w:name w:val="xl174"/>
    <w:basedOn w:val="Normal"/>
    <w:rsid w:val="004A15FA"/>
    <w:pPr>
      <w:pBdr>
        <w:top w:val="single" w:sz="8" w:space="0" w:color="auto"/>
        <w:left w:val="single" w:sz="8"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5">
    <w:name w:val="xl175"/>
    <w:basedOn w:val="Normal"/>
    <w:rsid w:val="004A15FA"/>
    <w:pPr>
      <w:pBdr>
        <w:top w:val="single" w:sz="8" w:space="0" w:color="auto"/>
        <w:left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6">
    <w:name w:val="xl176"/>
    <w:basedOn w:val="Normal"/>
    <w:rsid w:val="004A15FA"/>
    <w:pPr>
      <w:pBdr>
        <w:lef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7">
    <w:name w:val="xl177"/>
    <w:basedOn w:val="Normal"/>
    <w:rsid w:val="004A15FA"/>
    <w:pPr>
      <w:pBdr>
        <w:left w:val="single" w:sz="8"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8">
    <w:name w:val="xl178"/>
    <w:basedOn w:val="Normal"/>
    <w:rsid w:val="004A15FA"/>
    <w:pPr>
      <w:pBdr>
        <w:left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9">
    <w:name w:val="xl179"/>
    <w:basedOn w:val="Normal"/>
    <w:rsid w:val="004A15FA"/>
    <w:pPr>
      <w:pBdr>
        <w:left w:val="single" w:sz="12" w:space="0" w:color="auto"/>
        <w:bottom w:val="single" w:sz="8"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80">
    <w:name w:val="xl180"/>
    <w:basedOn w:val="Normal"/>
    <w:rsid w:val="004A15FA"/>
    <w:pPr>
      <w:pBdr>
        <w:left w:val="single" w:sz="8" w:space="0" w:color="auto"/>
        <w:bottom w:val="single" w:sz="8"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81">
    <w:name w:val="xl181"/>
    <w:basedOn w:val="Normal"/>
    <w:rsid w:val="004A15FA"/>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82">
    <w:name w:val="xl182"/>
    <w:basedOn w:val="Normal"/>
    <w:rsid w:val="004A15FA"/>
    <w:pPr>
      <w:pBdr>
        <w:top w:val="single" w:sz="8" w:space="0" w:color="auto"/>
        <w:left w:val="single" w:sz="12" w:space="0" w:color="auto"/>
        <w:bottom w:val="single" w:sz="8"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3">
    <w:name w:val="xl183"/>
    <w:basedOn w:val="Normal"/>
    <w:rsid w:val="004A15FA"/>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4">
    <w:name w:val="xl184"/>
    <w:basedOn w:val="Normal"/>
    <w:rsid w:val="004A15FA"/>
    <w:pPr>
      <w:pBdr>
        <w:top w:val="single" w:sz="8" w:space="0" w:color="auto"/>
        <w:left w:val="single" w:sz="8" w:space="0" w:color="auto"/>
        <w:bottom w:val="single" w:sz="8" w:space="0" w:color="auto"/>
        <w:right w:val="single" w:sz="12"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5">
    <w:name w:val="xl185"/>
    <w:basedOn w:val="Normal"/>
    <w:rsid w:val="004A15FA"/>
    <w:pPr>
      <w:pBdr>
        <w:top w:val="single" w:sz="8" w:space="0" w:color="auto"/>
        <w:left w:val="single" w:sz="12" w:space="0" w:color="auto"/>
        <w:bottom w:val="single" w:sz="12"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6">
    <w:name w:val="xl186"/>
    <w:basedOn w:val="Normal"/>
    <w:rsid w:val="004A15FA"/>
    <w:pPr>
      <w:pBdr>
        <w:top w:val="single" w:sz="8" w:space="0" w:color="auto"/>
        <w:left w:val="single" w:sz="8" w:space="0" w:color="auto"/>
        <w:bottom w:val="single" w:sz="12"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7">
    <w:name w:val="xl187"/>
    <w:basedOn w:val="Normal"/>
    <w:rsid w:val="004A15FA"/>
    <w:pPr>
      <w:pBdr>
        <w:top w:val="single" w:sz="8" w:space="0" w:color="auto"/>
        <w:left w:val="single" w:sz="8" w:space="0" w:color="auto"/>
        <w:bottom w:val="single" w:sz="12" w:space="0" w:color="auto"/>
        <w:right w:val="single" w:sz="12"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8">
    <w:name w:val="xl188"/>
    <w:basedOn w:val="Normal"/>
    <w:rsid w:val="004A15FA"/>
    <w:pPr>
      <w:pBdr>
        <w:top w:val="single" w:sz="12" w:space="0" w:color="auto"/>
        <w:left w:val="single" w:sz="12" w:space="0" w:color="auto"/>
        <w:bottom w:val="single" w:sz="8" w:space="0" w:color="auto"/>
      </w:pBdr>
      <w:shd w:val="clear" w:color="000000" w:fill="A5A5A5"/>
      <w:spacing w:before="100" w:beforeAutospacing="1" w:after="100" w:afterAutospacing="1"/>
      <w:jc w:val="center"/>
      <w:textAlignment w:val="center"/>
    </w:pPr>
    <w:rPr>
      <w:rFonts w:eastAsia="Times New Roman" w:cs="Times New Roman"/>
      <w:b/>
      <w:bCs/>
      <w:szCs w:val="24"/>
    </w:rPr>
  </w:style>
  <w:style w:type="paragraph" w:customStyle="1" w:styleId="xl189">
    <w:name w:val="xl189"/>
    <w:basedOn w:val="Normal"/>
    <w:rsid w:val="004A15FA"/>
    <w:pPr>
      <w:pBdr>
        <w:top w:val="single" w:sz="12" w:space="0" w:color="auto"/>
        <w:bottom w:val="single" w:sz="8" w:space="0" w:color="auto"/>
      </w:pBdr>
      <w:shd w:val="clear" w:color="000000" w:fill="A5A5A5"/>
      <w:spacing w:before="100" w:beforeAutospacing="1" w:after="100" w:afterAutospacing="1"/>
      <w:jc w:val="center"/>
      <w:textAlignment w:val="center"/>
    </w:pPr>
    <w:rPr>
      <w:rFonts w:eastAsia="Times New Roman" w:cs="Times New Roman"/>
      <w:b/>
      <w:bCs/>
      <w:szCs w:val="24"/>
    </w:rPr>
  </w:style>
  <w:style w:type="paragraph" w:customStyle="1" w:styleId="xl190">
    <w:name w:val="xl190"/>
    <w:basedOn w:val="Normal"/>
    <w:rsid w:val="004A15FA"/>
    <w:pPr>
      <w:pBdr>
        <w:top w:val="single" w:sz="12" w:space="0" w:color="auto"/>
        <w:bottom w:val="single" w:sz="8" w:space="0" w:color="auto"/>
        <w:right w:val="single" w:sz="12" w:space="0" w:color="auto"/>
      </w:pBdr>
      <w:spacing w:before="100" w:beforeAutospacing="1" w:after="100" w:afterAutospacing="1"/>
      <w:jc w:val="center"/>
      <w:textAlignment w:val="center"/>
    </w:pPr>
    <w:rPr>
      <w:rFonts w:eastAsia="Times New Roman" w:cs="Times New Roman"/>
      <w:szCs w:val="24"/>
    </w:rPr>
  </w:style>
  <w:style w:type="paragraph" w:customStyle="1" w:styleId="xl191">
    <w:name w:val="xl191"/>
    <w:basedOn w:val="Normal"/>
    <w:rsid w:val="004A15FA"/>
    <w:pPr>
      <w:pBdr>
        <w:top w:val="single" w:sz="12" w:space="0" w:color="auto"/>
        <w:left w:val="single" w:sz="12" w:space="0" w:color="auto"/>
        <w:right w:val="single" w:sz="12" w:space="0" w:color="auto"/>
      </w:pBdr>
      <w:shd w:val="clear" w:color="000000" w:fill="A5A5A5"/>
      <w:spacing w:before="100" w:beforeAutospacing="1" w:after="100" w:afterAutospacing="1"/>
      <w:jc w:val="center"/>
      <w:textAlignment w:val="center"/>
    </w:pPr>
    <w:rPr>
      <w:rFonts w:eastAsia="Times New Roman" w:cs="Times New Roman"/>
      <w:b/>
      <w:bCs/>
      <w:color w:val="000000"/>
      <w:sz w:val="20"/>
      <w:szCs w:val="20"/>
    </w:rPr>
  </w:style>
  <w:style w:type="paragraph" w:customStyle="1" w:styleId="xl192">
    <w:name w:val="xl192"/>
    <w:basedOn w:val="Normal"/>
    <w:rsid w:val="004A15FA"/>
    <w:pPr>
      <w:pBdr>
        <w:left w:val="single" w:sz="12" w:space="0" w:color="auto"/>
        <w:bottom w:val="single" w:sz="8" w:space="0" w:color="auto"/>
        <w:right w:val="single" w:sz="12" w:space="0" w:color="auto"/>
      </w:pBdr>
      <w:spacing w:before="100" w:beforeAutospacing="1" w:after="100" w:afterAutospacing="1"/>
      <w:textAlignment w:val="center"/>
    </w:pPr>
    <w:rPr>
      <w:rFonts w:eastAsia="Times New Roman" w:cs="Times New Roman"/>
      <w:szCs w:val="24"/>
    </w:rPr>
  </w:style>
  <w:style w:type="paragraph" w:customStyle="1" w:styleId="xl193">
    <w:name w:val="xl193"/>
    <w:basedOn w:val="Normal"/>
    <w:rsid w:val="004A15FA"/>
    <w:pPr>
      <w:pBdr>
        <w:left w:val="single" w:sz="12" w:space="0" w:color="auto"/>
        <w:bottom w:val="single" w:sz="8"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4">
    <w:name w:val="xl194"/>
    <w:basedOn w:val="Normal"/>
    <w:rsid w:val="004A15FA"/>
    <w:pPr>
      <w:pBdr>
        <w:left w:val="single" w:sz="8" w:space="0" w:color="auto"/>
        <w:bottom w:val="single" w:sz="8"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5">
    <w:name w:val="xl195"/>
    <w:basedOn w:val="Normal"/>
    <w:rsid w:val="004A15FA"/>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6">
    <w:name w:val="xl196"/>
    <w:basedOn w:val="Normal"/>
    <w:rsid w:val="004A15FA"/>
    <w:pPr>
      <w:pBdr>
        <w:left w:val="single" w:sz="12" w:space="0" w:color="auto"/>
        <w:bottom w:val="single" w:sz="8"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7">
    <w:name w:val="xl197"/>
    <w:basedOn w:val="Normal"/>
    <w:rsid w:val="004A15FA"/>
    <w:pPr>
      <w:pBdr>
        <w:left w:val="single" w:sz="8" w:space="0" w:color="auto"/>
        <w:bottom w:val="single" w:sz="8"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8">
    <w:name w:val="xl198"/>
    <w:basedOn w:val="Normal"/>
    <w:rsid w:val="004A15FA"/>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character" w:customStyle="1" w:styleId="EmailStyle571">
    <w:name w:val="EmailStyle571"/>
    <w:semiHidden/>
    <w:rsid w:val="004A15FA"/>
    <w:rPr>
      <w:rFonts w:ascii="Arial" w:hAnsi="Arial" w:cs="Arial" w:hint="default"/>
      <w:color w:val="auto"/>
      <w:sz w:val="20"/>
      <w:szCs w:val="20"/>
    </w:rPr>
  </w:style>
  <w:style w:type="paragraph" w:customStyle="1" w:styleId="LightGrid-Accent31">
    <w:name w:val="Light Grid - Accent 31"/>
    <w:basedOn w:val="Normal"/>
    <w:uiPriority w:val="34"/>
    <w:qFormat/>
    <w:rsid w:val="004A15FA"/>
    <w:pPr>
      <w:ind w:left="720"/>
      <w:contextualSpacing/>
    </w:pPr>
    <w:rPr>
      <w:rFonts w:ascii="Calibri" w:eastAsia="Calibri" w:hAnsi="Calibri" w:cs="Times New Roman"/>
      <w:sz w:val="22"/>
    </w:rPr>
  </w:style>
  <w:style w:type="paragraph" w:customStyle="1" w:styleId="LightList-Accent31">
    <w:name w:val="Light List - Accent 31"/>
    <w:hidden/>
    <w:rsid w:val="004A15FA"/>
    <w:rPr>
      <w:rFonts w:ascii="Times New Roman" w:eastAsia="Times New Roman" w:hAnsi="Times New Roman" w:cs="Times New Roman"/>
      <w:sz w:val="24"/>
      <w:szCs w:val="24"/>
    </w:rPr>
  </w:style>
  <w:style w:type="character" w:customStyle="1" w:styleId="EmailStyle3431">
    <w:name w:val="EmailStyle3431"/>
    <w:semiHidden/>
    <w:rsid w:val="004A15FA"/>
    <w:rPr>
      <w:rFonts w:ascii="Arial" w:hAnsi="Arial" w:cs="Arial" w:hint="default"/>
      <w:color w:val="auto"/>
      <w:sz w:val="20"/>
      <w:szCs w:val="20"/>
    </w:rPr>
  </w:style>
  <w:style w:type="character" w:customStyle="1" w:styleId="EmailStyle3581">
    <w:name w:val="EmailStyle3581"/>
    <w:semiHidden/>
    <w:rsid w:val="004A15FA"/>
    <w:rPr>
      <w:rFonts w:ascii="Arial" w:hAnsi="Arial" w:cs="Arial" w:hint="default"/>
      <w:color w:val="auto"/>
      <w:sz w:val="20"/>
      <w:szCs w:val="20"/>
    </w:rPr>
  </w:style>
  <w:style w:type="character" w:customStyle="1" w:styleId="EmailStyle3591">
    <w:name w:val="EmailStyle3591"/>
    <w:semiHidden/>
    <w:rsid w:val="004A15FA"/>
    <w:rPr>
      <w:rFonts w:ascii="Arial" w:hAnsi="Arial" w:cs="Arial" w:hint="default"/>
      <w:color w:val="auto"/>
      <w:sz w:val="20"/>
      <w:szCs w:val="20"/>
    </w:rPr>
  </w:style>
  <w:style w:type="table" w:styleId="ColorfulGrid-Accent6">
    <w:name w:val="Colorful Grid Accent 6"/>
    <w:basedOn w:val="TableNormal"/>
    <w:uiPriority w:val="71"/>
    <w:rsid w:val="004A15FA"/>
    <w:rPr>
      <w:rFonts w:ascii="Times New Roman" w:eastAsia="Times New Roman" w:hAnsi="Times New Roman" w:cs="Times New Roman"/>
      <w:color w:val="000000"/>
      <w:sz w:val="24"/>
      <w:szCs w:val="24"/>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3691">
    <w:name w:val="EmailStyle3691"/>
    <w:semiHidden/>
    <w:rsid w:val="004A15FA"/>
    <w:rPr>
      <w:rFonts w:ascii="Arial" w:hAnsi="Arial" w:cs="Arial" w:hint="default"/>
      <w:color w:val="auto"/>
      <w:sz w:val="20"/>
      <w:szCs w:val="20"/>
    </w:rPr>
  </w:style>
  <w:style w:type="paragraph" w:customStyle="1" w:styleId="DarkList-Accent51">
    <w:name w:val="Dark List - Accent 51"/>
    <w:basedOn w:val="Normal"/>
    <w:uiPriority w:val="34"/>
    <w:qFormat/>
    <w:rsid w:val="004A15FA"/>
    <w:pPr>
      <w:ind w:left="720"/>
    </w:pPr>
    <w:rPr>
      <w:rFonts w:eastAsia="Times New Roman" w:cs="Times New Roman"/>
      <w:szCs w:val="24"/>
    </w:rPr>
  </w:style>
  <w:style w:type="paragraph" w:customStyle="1" w:styleId="content">
    <w:name w:val="content"/>
    <w:basedOn w:val="Normal"/>
    <w:rsid w:val="004A15FA"/>
    <w:pPr>
      <w:spacing w:before="100" w:beforeAutospacing="1" w:after="100" w:afterAutospacing="1"/>
      <w:ind w:left="225" w:right="225"/>
    </w:pPr>
    <w:rPr>
      <w:rFonts w:ascii="Verdana" w:eastAsia="Times New Roman" w:hAnsi="Verdana" w:cs="Times New Roman"/>
      <w:color w:val="757575"/>
      <w:sz w:val="17"/>
      <w:szCs w:val="17"/>
    </w:rPr>
  </w:style>
  <w:style w:type="character" w:customStyle="1" w:styleId="CharChar2">
    <w:name w:val="Char Char2"/>
    <w:locked/>
    <w:rsid w:val="004A15FA"/>
    <w:rPr>
      <w:b/>
      <w:sz w:val="24"/>
      <w:lang w:val="en-GB" w:eastAsia="en-US" w:bidi="ar-SA"/>
    </w:rPr>
  </w:style>
  <w:style w:type="character" w:customStyle="1" w:styleId="style32">
    <w:name w:val="style32"/>
    <w:basedOn w:val="DefaultParagraphFont"/>
    <w:rsid w:val="004A15FA"/>
  </w:style>
  <w:style w:type="paragraph" w:customStyle="1" w:styleId="MediumGrid3-Accent51">
    <w:name w:val="Medium Grid 3 - Accent 51"/>
    <w:hidden/>
    <w:uiPriority w:val="99"/>
    <w:semiHidden/>
    <w:rsid w:val="004A15FA"/>
    <w:rPr>
      <w:rFonts w:ascii="Times New Roman" w:eastAsia="Times New Roman" w:hAnsi="Times New Roman" w:cs="Times New Roman"/>
      <w:sz w:val="24"/>
      <w:szCs w:val="24"/>
    </w:rPr>
  </w:style>
  <w:style w:type="paragraph" w:customStyle="1" w:styleId="NoSpacing2">
    <w:name w:val="No Spacing2"/>
    <w:uiPriority w:val="99"/>
    <w:qFormat/>
    <w:rsid w:val="004A15FA"/>
    <w:rPr>
      <w:rFonts w:ascii="Times New Roman" w:eastAsia="Times New Roman" w:hAnsi="Times New Roman" w:cs="Times New Roman"/>
      <w:sz w:val="24"/>
      <w:szCs w:val="24"/>
    </w:rPr>
  </w:style>
  <w:style w:type="character" w:customStyle="1" w:styleId="heading3char0">
    <w:name w:val="heading3char"/>
    <w:basedOn w:val="DefaultParagraphFont"/>
    <w:rsid w:val="004A15FA"/>
  </w:style>
  <w:style w:type="character" w:customStyle="1" w:styleId="heading4char10">
    <w:name w:val="heading4char1"/>
    <w:basedOn w:val="DefaultParagraphFont"/>
    <w:rsid w:val="004A15FA"/>
  </w:style>
  <w:style w:type="paragraph" w:customStyle="1" w:styleId="LightList-Accent51">
    <w:name w:val="Light List - Accent 51"/>
    <w:basedOn w:val="Normal"/>
    <w:uiPriority w:val="34"/>
    <w:qFormat/>
    <w:rsid w:val="004A15FA"/>
    <w:pPr>
      <w:ind w:left="720"/>
    </w:pPr>
    <w:rPr>
      <w:rFonts w:eastAsia="Times New Roman" w:cs="Times New Roman"/>
      <w:szCs w:val="24"/>
    </w:rPr>
  </w:style>
  <w:style w:type="paragraph" w:customStyle="1" w:styleId="LightShading-Accent51">
    <w:name w:val="Light Shading - Accent 51"/>
    <w:hidden/>
    <w:uiPriority w:val="99"/>
    <w:rsid w:val="004A15FA"/>
    <w:rPr>
      <w:rFonts w:ascii="Times New Roman" w:eastAsia="Times New Roman" w:hAnsi="Times New Roman" w:cs="Times New Roman"/>
      <w:sz w:val="24"/>
      <w:szCs w:val="24"/>
    </w:rPr>
  </w:style>
  <w:style w:type="paragraph" w:customStyle="1" w:styleId="ColorfulShading-Accent31">
    <w:name w:val="Colorful Shading - Accent 31"/>
    <w:basedOn w:val="Normal"/>
    <w:uiPriority w:val="34"/>
    <w:qFormat/>
    <w:rsid w:val="004A15FA"/>
    <w:pPr>
      <w:ind w:left="720"/>
    </w:pPr>
    <w:rPr>
      <w:rFonts w:eastAsia="Times New Roman" w:cs="Times New Roman"/>
      <w:szCs w:val="24"/>
    </w:rPr>
  </w:style>
  <w:style w:type="paragraph" w:customStyle="1" w:styleId="DarkList-Accent31">
    <w:name w:val="Dark List - Accent 31"/>
    <w:hidden/>
    <w:uiPriority w:val="71"/>
    <w:rsid w:val="004A15FA"/>
    <w:rPr>
      <w:rFonts w:ascii="Times New Roman" w:eastAsia="Times New Roman" w:hAnsi="Times New Roman" w:cs="Times New Roman"/>
      <w:sz w:val="24"/>
      <w:szCs w:val="24"/>
    </w:rPr>
  </w:style>
  <w:style w:type="character" w:customStyle="1" w:styleId="CharChar15">
    <w:name w:val="Char Char15"/>
    <w:uiPriority w:val="99"/>
    <w:rsid w:val="004A15FA"/>
    <w:rPr>
      <w:rFonts w:eastAsia="Times New Roman" w:cs="Times New Roman"/>
      <w:bCs/>
      <w:i/>
      <w:sz w:val="28"/>
      <w:szCs w:val="28"/>
      <w:lang w:val="en-US" w:eastAsia="en-US" w:bidi="ar-SA"/>
    </w:rPr>
  </w:style>
  <w:style w:type="paragraph" w:customStyle="1" w:styleId="MediumList2-Accent21">
    <w:name w:val="Medium List 2 - Accent 21"/>
    <w:hidden/>
    <w:uiPriority w:val="99"/>
    <w:rsid w:val="004A15FA"/>
    <w:rPr>
      <w:rFonts w:ascii="Times New Roman" w:eastAsia="Times New Roman" w:hAnsi="Times New Roman" w:cs="Times New Roman"/>
      <w:sz w:val="24"/>
      <w:szCs w:val="24"/>
    </w:rPr>
  </w:style>
  <w:style w:type="character" w:customStyle="1" w:styleId="CharChar272">
    <w:name w:val="Char Char272"/>
    <w:uiPriority w:val="99"/>
    <w:locked/>
    <w:rsid w:val="004A15FA"/>
    <w:rPr>
      <w:rFonts w:ascii="Arial" w:hAnsi="Arial" w:cs="Arial"/>
      <w:b/>
      <w:bCs/>
      <w:kern w:val="32"/>
      <w:sz w:val="32"/>
      <w:szCs w:val="32"/>
    </w:rPr>
  </w:style>
  <w:style w:type="character" w:customStyle="1" w:styleId="CharChar262">
    <w:name w:val="Char Char262"/>
    <w:uiPriority w:val="99"/>
    <w:locked/>
    <w:rsid w:val="004A15FA"/>
    <w:rPr>
      <w:rFonts w:ascii="Arial" w:hAnsi="Arial" w:cs="Arial"/>
      <w:b/>
      <w:bCs/>
      <w:i/>
      <w:iCs/>
      <w:sz w:val="28"/>
      <w:szCs w:val="28"/>
    </w:rPr>
  </w:style>
  <w:style w:type="character" w:customStyle="1" w:styleId="CharChar252">
    <w:name w:val="Char Char252"/>
    <w:uiPriority w:val="99"/>
    <w:locked/>
    <w:rsid w:val="004A15FA"/>
    <w:rPr>
      <w:rFonts w:ascii="Arial" w:hAnsi="Arial" w:cs="Arial"/>
      <w:b/>
      <w:bCs/>
      <w:sz w:val="26"/>
      <w:szCs w:val="26"/>
    </w:rPr>
  </w:style>
  <w:style w:type="character" w:customStyle="1" w:styleId="CharChar242">
    <w:name w:val="Char Char242"/>
    <w:uiPriority w:val="99"/>
    <w:locked/>
    <w:rsid w:val="004A15FA"/>
    <w:rPr>
      <w:rFonts w:cs="Times New Roman"/>
      <w:b/>
      <w:bCs/>
      <w:i/>
      <w:iCs/>
      <w:sz w:val="26"/>
      <w:szCs w:val="26"/>
    </w:rPr>
  </w:style>
  <w:style w:type="character" w:customStyle="1" w:styleId="CharChar232">
    <w:name w:val="Char Char232"/>
    <w:uiPriority w:val="99"/>
    <w:locked/>
    <w:rsid w:val="004A15FA"/>
    <w:rPr>
      <w:rFonts w:cs="Times New Roman"/>
      <w:b/>
      <w:bCs/>
      <w:sz w:val="22"/>
      <w:szCs w:val="22"/>
    </w:rPr>
  </w:style>
  <w:style w:type="character" w:customStyle="1" w:styleId="CharChar222">
    <w:name w:val="Char Char222"/>
    <w:uiPriority w:val="99"/>
    <w:locked/>
    <w:rsid w:val="004A15FA"/>
    <w:rPr>
      <w:rFonts w:cs="Times New Roman"/>
      <w:sz w:val="24"/>
      <w:szCs w:val="24"/>
    </w:rPr>
  </w:style>
  <w:style w:type="character" w:customStyle="1" w:styleId="CharChar212">
    <w:name w:val="Char Char212"/>
    <w:uiPriority w:val="99"/>
    <w:locked/>
    <w:rsid w:val="004A15FA"/>
    <w:rPr>
      <w:rFonts w:cs="Times New Roman"/>
      <w:i/>
      <w:iCs/>
      <w:sz w:val="24"/>
      <w:szCs w:val="24"/>
    </w:rPr>
  </w:style>
  <w:style w:type="character" w:customStyle="1" w:styleId="CharChar202">
    <w:name w:val="Char Char202"/>
    <w:uiPriority w:val="99"/>
    <w:locked/>
    <w:rsid w:val="004A15FA"/>
    <w:rPr>
      <w:rFonts w:ascii="Arial" w:hAnsi="Arial" w:cs="Arial"/>
      <w:sz w:val="22"/>
      <w:szCs w:val="22"/>
    </w:rPr>
  </w:style>
  <w:style w:type="character" w:customStyle="1" w:styleId="CharChar182">
    <w:name w:val="Char Char182"/>
    <w:uiPriority w:val="99"/>
    <w:locked/>
    <w:rsid w:val="004A15FA"/>
    <w:rPr>
      <w:rFonts w:cs="Times New Roman"/>
      <w:sz w:val="24"/>
      <w:szCs w:val="24"/>
    </w:rPr>
  </w:style>
  <w:style w:type="character" w:customStyle="1" w:styleId="CharChar142">
    <w:name w:val="Char Char142"/>
    <w:uiPriority w:val="99"/>
    <w:locked/>
    <w:rsid w:val="004A15FA"/>
    <w:rPr>
      <w:rFonts w:cs="Times New Roman"/>
      <w:sz w:val="24"/>
      <w:szCs w:val="24"/>
    </w:rPr>
  </w:style>
  <w:style w:type="character" w:customStyle="1" w:styleId="CharChar112">
    <w:name w:val="Char Char112"/>
    <w:uiPriority w:val="99"/>
    <w:locked/>
    <w:rsid w:val="004A15FA"/>
    <w:rPr>
      <w:rFonts w:ascii="Cambria" w:hAnsi="Cambria" w:cs="Times New Roman"/>
      <w:sz w:val="24"/>
      <w:szCs w:val="24"/>
    </w:rPr>
  </w:style>
  <w:style w:type="character" w:customStyle="1" w:styleId="CharChar42">
    <w:name w:val="Char Char42"/>
    <w:uiPriority w:val="99"/>
    <w:locked/>
    <w:rsid w:val="004A15FA"/>
    <w:rPr>
      <w:rFonts w:ascii="Cambria" w:hAnsi="Cambria" w:cs="Times New Roman"/>
      <w:b/>
      <w:bCs/>
      <w:kern w:val="28"/>
      <w:sz w:val="32"/>
      <w:szCs w:val="32"/>
    </w:rPr>
  </w:style>
  <w:style w:type="character" w:customStyle="1" w:styleId="CharChar392">
    <w:name w:val="Char Char392"/>
    <w:uiPriority w:val="99"/>
    <w:rsid w:val="004A15FA"/>
    <w:rPr>
      <w:rFonts w:ascii="Arial" w:hAnsi="Arial" w:cs="Arial"/>
      <w:b/>
      <w:bCs/>
      <w:i/>
      <w:iCs/>
      <w:sz w:val="28"/>
      <w:szCs w:val="28"/>
    </w:rPr>
  </w:style>
  <w:style w:type="character" w:customStyle="1" w:styleId="bi">
    <w:name w:val="bi"/>
    <w:basedOn w:val="DefaultParagraphFont"/>
    <w:rsid w:val="004A15FA"/>
  </w:style>
  <w:style w:type="paragraph" w:customStyle="1" w:styleId="ColorfulShading-Accent12">
    <w:name w:val="Colorful Shading - Accent 12"/>
    <w:hidden/>
    <w:rsid w:val="004A15FA"/>
    <w:rPr>
      <w:rFonts w:ascii="Times New Roman" w:eastAsia="Times New Roman" w:hAnsi="Times New Roman" w:cs="Times New Roman"/>
      <w:sz w:val="24"/>
      <w:szCs w:val="24"/>
    </w:rPr>
  </w:style>
  <w:style w:type="paragraph" w:customStyle="1" w:styleId="ColorfulList-Accent12">
    <w:name w:val="Colorful List - Accent 12"/>
    <w:basedOn w:val="Normal"/>
    <w:uiPriority w:val="34"/>
    <w:qFormat/>
    <w:rsid w:val="004A15FA"/>
    <w:pPr>
      <w:ind w:left="720"/>
      <w:contextualSpacing/>
    </w:pPr>
    <w:rPr>
      <w:rFonts w:eastAsia="Times New Roman" w:cs="Times New Roman"/>
      <w:szCs w:val="24"/>
    </w:rPr>
  </w:style>
  <w:style w:type="paragraph" w:customStyle="1" w:styleId="NoSpacing3">
    <w:name w:val="No Spacing3"/>
    <w:uiPriority w:val="99"/>
    <w:qFormat/>
    <w:rsid w:val="004A15FA"/>
    <w:rPr>
      <w:rFonts w:ascii="Times New Roman" w:eastAsia="Times New Roman" w:hAnsi="Times New Roman" w:cs="Times New Roman"/>
      <w:sz w:val="24"/>
      <w:szCs w:val="24"/>
    </w:rPr>
  </w:style>
  <w:style w:type="character" w:customStyle="1" w:styleId="CharChar16">
    <w:name w:val="Char Char16"/>
    <w:rsid w:val="004A15FA"/>
    <w:rPr>
      <w:rFonts w:eastAsia="Times New Roman" w:cs="Times New Roman"/>
      <w:bCs/>
      <w:i/>
      <w:sz w:val="28"/>
      <w:szCs w:val="28"/>
      <w:lang w:val="en-US" w:eastAsia="en-US" w:bidi="ar-SA"/>
    </w:rPr>
  </w:style>
  <w:style w:type="character" w:customStyle="1" w:styleId="CharChar43">
    <w:name w:val="Char Char43"/>
    <w:locked/>
    <w:rsid w:val="004A15FA"/>
    <w:rPr>
      <w:rFonts w:ascii="Arial" w:hAnsi="Arial" w:cs="Arial"/>
      <w:b/>
      <w:bCs/>
      <w:i/>
      <w:iCs/>
      <w:sz w:val="28"/>
      <w:szCs w:val="28"/>
      <w:lang w:val="en-US" w:eastAsia="en-US" w:bidi="ar-SA"/>
    </w:rPr>
  </w:style>
  <w:style w:type="character" w:customStyle="1" w:styleId="CharChar273">
    <w:name w:val="Char Char273"/>
    <w:locked/>
    <w:rsid w:val="004A15FA"/>
    <w:rPr>
      <w:rFonts w:ascii="Arial" w:hAnsi="Arial" w:cs="Arial"/>
      <w:b/>
      <w:bCs/>
      <w:kern w:val="32"/>
      <w:sz w:val="32"/>
      <w:szCs w:val="32"/>
    </w:rPr>
  </w:style>
  <w:style w:type="character" w:customStyle="1" w:styleId="CharChar263">
    <w:name w:val="Char Char263"/>
    <w:locked/>
    <w:rsid w:val="004A15FA"/>
    <w:rPr>
      <w:rFonts w:ascii="Arial" w:hAnsi="Arial" w:cs="Arial"/>
      <w:b/>
      <w:bCs/>
      <w:i/>
      <w:iCs/>
      <w:sz w:val="28"/>
      <w:szCs w:val="28"/>
    </w:rPr>
  </w:style>
  <w:style w:type="character" w:customStyle="1" w:styleId="CharChar253">
    <w:name w:val="Char Char253"/>
    <w:locked/>
    <w:rsid w:val="004A15FA"/>
    <w:rPr>
      <w:rFonts w:ascii="Arial" w:hAnsi="Arial" w:cs="Arial"/>
      <w:b/>
      <w:bCs/>
      <w:sz w:val="26"/>
      <w:szCs w:val="26"/>
    </w:rPr>
  </w:style>
  <w:style w:type="character" w:customStyle="1" w:styleId="CharChar243">
    <w:name w:val="Char Char243"/>
    <w:locked/>
    <w:rsid w:val="004A15FA"/>
    <w:rPr>
      <w:rFonts w:cs="Times New Roman"/>
      <w:b/>
      <w:bCs/>
      <w:i/>
      <w:iCs/>
      <w:sz w:val="26"/>
      <w:szCs w:val="26"/>
    </w:rPr>
  </w:style>
  <w:style w:type="character" w:customStyle="1" w:styleId="CharChar233">
    <w:name w:val="Char Char233"/>
    <w:locked/>
    <w:rsid w:val="004A15FA"/>
    <w:rPr>
      <w:rFonts w:cs="Times New Roman"/>
      <w:b/>
      <w:bCs/>
      <w:sz w:val="22"/>
      <w:szCs w:val="22"/>
    </w:rPr>
  </w:style>
  <w:style w:type="character" w:customStyle="1" w:styleId="CharChar223">
    <w:name w:val="Char Char223"/>
    <w:locked/>
    <w:rsid w:val="004A15FA"/>
    <w:rPr>
      <w:rFonts w:cs="Times New Roman"/>
      <w:sz w:val="24"/>
      <w:szCs w:val="24"/>
    </w:rPr>
  </w:style>
  <w:style w:type="character" w:customStyle="1" w:styleId="CharChar213">
    <w:name w:val="Char Char213"/>
    <w:locked/>
    <w:rsid w:val="004A15FA"/>
    <w:rPr>
      <w:rFonts w:cs="Times New Roman"/>
      <w:i/>
      <w:iCs/>
      <w:sz w:val="24"/>
      <w:szCs w:val="24"/>
    </w:rPr>
  </w:style>
  <w:style w:type="character" w:customStyle="1" w:styleId="CharChar203">
    <w:name w:val="Char Char203"/>
    <w:locked/>
    <w:rsid w:val="004A15FA"/>
    <w:rPr>
      <w:rFonts w:ascii="Arial" w:hAnsi="Arial" w:cs="Arial"/>
      <w:sz w:val="22"/>
      <w:szCs w:val="22"/>
    </w:rPr>
  </w:style>
  <w:style w:type="character" w:customStyle="1" w:styleId="CharChar183">
    <w:name w:val="Char Char183"/>
    <w:locked/>
    <w:rsid w:val="004A15FA"/>
    <w:rPr>
      <w:rFonts w:cs="Times New Roman"/>
      <w:sz w:val="24"/>
      <w:szCs w:val="24"/>
    </w:rPr>
  </w:style>
  <w:style w:type="character" w:customStyle="1" w:styleId="CharChar143">
    <w:name w:val="Char Char143"/>
    <w:locked/>
    <w:rsid w:val="004A15FA"/>
    <w:rPr>
      <w:rFonts w:cs="Times New Roman"/>
      <w:sz w:val="24"/>
      <w:szCs w:val="24"/>
    </w:rPr>
  </w:style>
  <w:style w:type="character" w:customStyle="1" w:styleId="CharChar113">
    <w:name w:val="Char Char113"/>
    <w:locked/>
    <w:rsid w:val="004A15FA"/>
    <w:rPr>
      <w:rFonts w:ascii="Cambria" w:hAnsi="Cambria" w:cs="Times New Roman"/>
      <w:sz w:val="24"/>
      <w:szCs w:val="24"/>
    </w:rPr>
  </w:style>
  <w:style w:type="character" w:customStyle="1" w:styleId="CharChar393">
    <w:name w:val="Char Char393"/>
    <w:rsid w:val="004A15FA"/>
    <w:rPr>
      <w:rFonts w:ascii="Arial" w:eastAsia="Times New Roman" w:hAnsi="Arial" w:cs="Arial"/>
      <w:b/>
      <w:bCs/>
      <w:i/>
      <w:iCs/>
      <w:sz w:val="28"/>
      <w:szCs w:val="28"/>
    </w:rPr>
  </w:style>
  <w:style w:type="paragraph" w:customStyle="1" w:styleId="LightList-Accent32">
    <w:name w:val="Light List - Accent 32"/>
    <w:hidden/>
    <w:rsid w:val="004A15FA"/>
    <w:rPr>
      <w:rFonts w:ascii="Times New Roman" w:eastAsia="Times New Roman" w:hAnsi="Times New Roman" w:cs="Times New Roman"/>
      <w:sz w:val="24"/>
      <w:szCs w:val="24"/>
    </w:rPr>
  </w:style>
  <w:style w:type="paragraph" w:customStyle="1" w:styleId="LightGrid-Accent32">
    <w:name w:val="Light Grid - Accent 32"/>
    <w:basedOn w:val="Normal"/>
    <w:uiPriority w:val="34"/>
    <w:qFormat/>
    <w:rsid w:val="004A15FA"/>
    <w:pPr>
      <w:ind w:left="720"/>
      <w:contextualSpacing/>
    </w:pPr>
    <w:rPr>
      <w:rFonts w:eastAsia="Times New Roman" w:cs="Times New Roman"/>
      <w:szCs w:val="24"/>
    </w:rPr>
  </w:style>
  <w:style w:type="paragraph" w:customStyle="1" w:styleId="NoSpacing4">
    <w:name w:val="No Spacing4"/>
    <w:uiPriority w:val="99"/>
    <w:qFormat/>
    <w:rsid w:val="004A15FA"/>
    <w:rPr>
      <w:rFonts w:ascii="Times New Roman" w:eastAsia="Times New Roman" w:hAnsi="Times New Roman" w:cs="Times New Roman"/>
      <w:sz w:val="24"/>
      <w:szCs w:val="24"/>
    </w:rPr>
  </w:style>
  <w:style w:type="paragraph" w:customStyle="1" w:styleId="MediumGrid1-Accent22">
    <w:name w:val="Medium Grid 1 - Accent 22"/>
    <w:basedOn w:val="Normal"/>
    <w:uiPriority w:val="34"/>
    <w:qFormat/>
    <w:rsid w:val="004A15FA"/>
    <w:pPr>
      <w:ind w:left="720"/>
      <w:contextualSpacing/>
    </w:pPr>
    <w:rPr>
      <w:rFonts w:eastAsia="Times New Roman" w:cs="Times New Roman"/>
      <w:szCs w:val="24"/>
    </w:rPr>
  </w:style>
  <w:style w:type="character" w:customStyle="1" w:styleId="CharChar19">
    <w:name w:val="Char Char19"/>
    <w:rsid w:val="004A15FA"/>
    <w:rPr>
      <w:rFonts w:eastAsia="Times"/>
      <w:bCs/>
      <w:i/>
      <w:sz w:val="24"/>
      <w:szCs w:val="28"/>
      <w:lang w:val="en-US" w:eastAsia="en-US" w:bidi="ar-SA"/>
    </w:rPr>
  </w:style>
  <w:style w:type="character" w:customStyle="1" w:styleId="CharChar275">
    <w:name w:val="Char Char275"/>
    <w:locked/>
    <w:rsid w:val="004A15FA"/>
    <w:rPr>
      <w:rFonts w:ascii="Arial" w:hAnsi="Arial" w:cs="Arial"/>
      <w:b/>
      <w:bCs/>
      <w:kern w:val="32"/>
      <w:sz w:val="32"/>
      <w:szCs w:val="32"/>
    </w:rPr>
  </w:style>
  <w:style w:type="character" w:customStyle="1" w:styleId="CharChar265">
    <w:name w:val="Char Char265"/>
    <w:locked/>
    <w:rsid w:val="004A15FA"/>
    <w:rPr>
      <w:rFonts w:ascii="Arial" w:hAnsi="Arial" w:cs="Arial"/>
      <w:b/>
      <w:bCs/>
      <w:i/>
      <w:iCs/>
      <w:sz w:val="28"/>
      <w:szCs w:val="28"/>
    </w:rPr>
  </w:style>
  <w:style w:type="character" w:customStyle="1" w:styleId="CharChar255">
    <w:name w:val="Char Char255"/>
    <w:locked/>
    <w:rsid w:val="004A15FA"/>
    <w:rPr>
      <w:rFonts w:ascii="Arial" w:hAnsi="Arial" w:cs="Arial"/>
      <w:b/>
      <w:bCs/>
      <w:sz w:val="26"/>
      <w:szCs w:val="26"/>
    </w:rPr>
  </w:style>
  <w:style w:type="character" w:customStyle="1" w:styleId="CharChar245">
    <w:name w:val="Char Char245"/>
    <w:locked/>
    <w:rsid w:val="004A15FA"/>
    <w:rPr>
      <w:rFonts w:cs="Times New Roman"/>
      <w:b/>
      <w:bCs/>
      <w:i/>
      <w:iCs/>
      <w:sz w:val="26"/>
      <w:szCs w:val="26"/>
    </w:rPr>
  </w:style>
  <w:style w:type="character" w:customStyle="1" w:styleId="CharChar235">
    <w:name w:val="Char Char235"/>
    <w:locked/>
    <w:rsid w:val="004A15FA"/>
    <w:rPr>
      <w:rFonts w:cs="Times New Roman"/>
      <w:b/>
      <w:bCs/>
      <w:sz w:val="22"/>
      <w:szCs w:val="22"/>
    </w:rPr>
  </w:style>
  <w:style w:type="character" w:customStyle="1" w:styleId="CharChar225">
    <w:name w:val="Char Char225"/>
    <w:locked/>
    <w:rsid w:val="004A15FA"/>
    <w:rPr>
      <w:rFonts w:cs="Times New Roman"/>
      <w:sz w:val="24"/>
      <w:szCs w:val="24"/>
    </w:rPr>
  </w:style>
  <w:style w:type="character" w:customStyle="1" w:styleId="CharChar215">
    <w:name w:val="Char Char215"/>
    <w:locked/>
    <w:rsid w:val="004A15FA"/>
    <w:rPr>
      <w:rFonts w:cs="Times New Roman"/>
      <w:i/>
      <w:iCs/>
      <w:sz w:val="24"/>
      <w:szCs w:val="24"/>
    </w:rPr>
  </w:style>
  <w:style w:type="character" w:customStyle="1" w:styleId="CharChar205">
    <w:name w:val="Char Char205"/>
    <w:locked/>
    <w:rsid w:val="004A15FA"/>
    <w:rPr>
      <w:rFonts w:ascii="Arial" w:hAnsi="Arial" w:cs="Arial"/>
      <w:sz w:val="22"/>
      <w:szCs w:val="22"/>
    </w:rPr>
  </w:style>
  <w:style w:type="character" w:customStyle="1" w:styleId="CharChar185">
    <w:name w:val="Char Char185"/>
    <w:locked/>
    <w:rsid w:val="004A15FA"/>
    <w:rPr>
      <w:rFonts w:cs="Times New Roman"/>
      <w:sz w:val="24"/>
      <w:szCs w:val="24"/>
    </w:rPr>
  </w:style>
  <w:style w:type="character" w:customStyle="1" w:styleId="CharChar145">
    <w:name w:val="Char Char145"/>
    <w:locked/>
    <w:rsid w:val="004A15FA"/>
    <w:rPr>
      <w:rFonts w:cs="Times New Roman"/>
      <w:sz w:val="24"/>
      <w:szCs w:val="24"/>
    </w:rPr>
  </w:style>
  <w:style w:type="character" w:customStyle="1" w:styleId="CharChar115">
    <w:name w:val="Char Char115"/>
    <w:locked/>
    <w:rsid w:val="004A15FA"/>
    <w:rPr>
      <w:rFonts w:ascii="Cambria" w:hAnsi="Cambria" w:cs="Times New Roman"/>
      <w:sz w:val="24"/>
      <w:szCs w:val="24"/>
    </w:rPr>
  </w:style>
  <w:style w:type="character" w:customStyle="1" w:styleId="CharChar45">
    <w:name w:val="Char Char45"/>
    <w:locked/>
    <w:rsid w:val="004A15FA"/>
    <w:rPr>
      <w:rFonts w:ascii="Cambria" w:hAnsi="Cambria" w:cs="Times New Roman"/>
      <w:b/>
      <w:bCs/>
      <w:kern w:val="28"/>
      <w:sz w:val="32"/>
      <w:szCs w:val="32"/>
    </w:rPr>
  </w:style>
  <w:style w:type="character" w:customStyle="1" w:styleId="CharChar395">
    <w:name w:val="Char Char395"/>
    <w:rsid w:val="004A15FA"/>
    <w:rPr>
      <w:rFonts w:ascii="Arial" w:eastAsia="Times New Roman" w:hAnsi="Arial" w:cs="Arial"/>
      <w:b/>
      <w:bCs/>
      <w:i/>
      <w:iCs/>
      <w:sz w:val="28"/>
      <w:szCs w:val="28"/>
    </w:rPr>
  </w:style>
  <w:style w:type="paragraph" w:customStyle="1" w:styleId="ColorfulList-Accent13">
    <w:name w:val="Colorful List - Accent 13"/>
    <w:basedOn w:val="Normal"/>
    <w:uiPriority w:val="34"/>
    <w:qFormat/>
    <w:rsid w:val="004A15FA"/>
    <w:pPr>
      <w:ind w:left="720"/>
      <w:contextualSpacing/>
    </w:pPr>
    <w:rPr>
      <w:rFonts w:eastAsia="Times New Roman" w:cs="Times New Roman"/>
      <w:szCs w:val="24"/>
    </w:rPr>
  </w:style>
  <w:style w:type="paragraph" w:customStyle="1" w:styleId="ColorfulList-Accent14">
    <w:name w:val="Colorful List - Accent 14"/>
    <w:basedOn w:val="Normal"/>
    <w:uiPriority w:val="99"/>
    <w:qFormat/>
    <w:rsid w:val="004A15FA"/>
    <w:pPr>
      <w:spacing w:after="200" w:line="276" w:lineRule="auto"/>
      <w:ind w:left="720"/>
      <w:contextualSpacing/>
      <w:jc w:val="both"/>
    </w:pPr>
    <w:rPr>
      <w:rFonts w:eastAsia="Calibri" w:cs="Times New Roman"/>
      <w:sz w:val="22"/>
    </w:rPr>
  </w:style>
  <w:style w:type="paragraph" w:customStyle="1" w:styleId="NoSpacing5">
    <w:name w:val="No Spacing5"/>
    <w:uiPriority w:val="1"/>
    <w:qFormat/>
    <w:rsid w:val="004A15FA"/>
    <w:rPr>
      <w:rFonts w:ascii="Times New Roman" w:eastAsia="Times New Roman" w:hAnsi="Times New Roman" w:cs="Times New Roman"/>
      <w:sz w:val="24"/>
      <w:szCs w:val="24"/>
    </w:rPr>
  </w:style>
  <w:style w:type="paragraph" w:customStyle="1" w:styleId="ColorfulShading-Accent13">
    <w:name w:val="Colorful Shading - Accent 13"/>
    <w:hidden/>
    <w:uiPriority w:val="99"/>
    <w:rsid w:val="004A15FA"/>
    <w:rPr>
      <w:rFonts w:ascii="Times New Roman" w:eastAsia="Times New Roman" w:hAnsi="Times New Roman" w:cs="Times New Roman"/>
      <w:sz w:val="24"/>
      <w:szCs w:val="24"/>
    </w:rPr>
  </w:style>
  <w:style w:type="character" w:customStyle="1" w:styleId="CharChar17">
    <w:name w:val="Char Char17"/>
    <w:rsid w:val="004A15FA"/>
    <w:rPr>
      <w:rFonts w:eastAsia="Times"/>
      <w:bCs/>
      <w:i/>
      <w:sz w:val="24"/>
      <w:szCs w:val="28"/>
      <w:lang w:val="en-US" w:eastAsia="en-US" w:bidi="ar-SA"/>
    </w:rPr>
  </w:style>
  <w:style w:type="character" w:customStyle="1" w:styleId="CharChar274">
    <w:name w:val="Char Char274"/>
    <w:locked/>
    <w:rsid w:val="004A15FA"/>
    <w:rPr>
      <w:rFonts w:ascii="Arial" w:hAnsi="Arial" w:cs="Arial"/>
      <w:b/>
      <w:bCs/>
      <w:kern w:val="32"/>
      <w:sz w:val="32"/>
      <w:szCs w:val="32"/>
    </w:rPr>
  </w:style>
  <w:style w:type="character" w:customStyle="1" w:styleId="CharChar264">
    <w:name w:val="Char Char264"/>
    <w:locked/>
    <w:rsid w:val="004A15FA"/>
    <w:rPr>
      <w:rFonts w:ascii="Arial" w:hAnsi="Arial" w:cs="Arial"/>
      <w:b/>
      <w:bCs/>
      <w:i/>
      <w:iCs/>
      <w:sz w:val="28"/>
      <w:szCs w:val="28"/>
    </w:rPr>
  </w:style>
  <w:style w:type="character" w:customStyle="1" w:styleId="CharChar254">
    <w:name w:val="Char Char254"/>
    <w:locked/>
    <w:rsid w:val="004A15FA"/>
    <w:rPr>
      <w:rFonts w:ascii="Arial" w:hAnsi="Arial" w:cs="Arial"/>
      <w:b/>
      <w:bCs/>
      <w:sz w:val="26"/>
      <w:szCs w:val="26"/>
    </w:rPr>
  </w:style>
  <w:style w:type="character" w:customStyle="1" w:styleId="CharChar244">
    <w:name w:val="Char Char244"/>
    <w:locked/>
    <w:rsid w:val="004A15FA"/>
    <w:rPr>
      <w:rFonts w:cs="Times New Roman"/>
      <w:b/>
      <w:bCs/>
      <w:i/>
      <w:iCs/>
      <w:sz w:val="26"/>
      <w:szCs w:val="26"/>
    </w:rPr>
  </w:style>
  <w:style w:type="character" w:customStyle="1" w:styleId="CharChar234">
    <w:name w:val="Char Char234"/>
    <w:locked/>
    <w:rsid w:val="004A15FA"/>
    <w:rPr>
      <w:rFonts w:cs="Times New Roman"/>
      <w:b/>
      <w:bCs/>
      <w:sz w:val="22"/>
      <w:szCs w:val="22"/>
    </w:rPr>
  </w:style>
  <w:style w:type="character" w:customStyle="1" w:styleId="CharChar224">
    <w:name w:val="Char Char224"/>
    <w:locked/>
    <w:rsid w:val="004A15FA"/>
    <w:rPr>
      <w:rFonts w:cs="Times New Roman"/>
      <w:sz w:val="24"/>
      <w:szCs w:val="24"/>
    </w:rPr>
  </w:style>
  <w:style w:type="character" w:customStyle="1" w:styleId="CharChar214">
    <w:name w:val="Char Char214"/>
    <w:locked/>
    <w:rsid w:val="004A15FA"/>
    <w:rPr>
      <w:rFonts w:cs="Times New Roman"/>
      <w:i/>
      <w:iCs/>
      <w:sz w:val="24"/>
      <w:szCs w:val="24"/>
    </w:rPr>
  </w:style>
  <w:style w:type="character" w:customStyle="1" w:styleId="CharChar204">
    <w:name w:val="Char Char204"/>
    <w:locked/>
    <w:rsid w:val="004A15FA"/>
    <w:rPr>
      <w:rFonts w:ascii="Arial" w:hAnsi="Arial" w:cs="Arial"/>
      <w:sz w:val="22"/>
      <w:szCs w:val="22"/>
    </w:rPr>
  </w:style>
  <w:style w:type="character" w:customStyle="1" w:styleId="CharChar184">
    <w:name w:val="Char Char184"/>
    <w:locked/>
    <w:rsid w:val="004A15FA"/>
    <w:rPr>
      <w:rFonts w:cs="Times New Roman"/>
      <w:sz w:val="24"/>
      <w:szCs w:val="24"/>
    </w:rPr>
  </w:style>
  <w:style w:type="character" w:customStyle="1" w:styleId="CharChar144">
    <w:name w:val="Char Char144"/>
    <w:locked/>
    <w:rsid w:val="004A15FA"/>
    <w:rPr>
      <w:rFonts w:cs="Times New Roman"/>
      <w:sz w:val="24"/>
      <w:szCs w:val="24"/>
    </w:rPr>
  </w:style>
  <w:style w:type="character" w:customStyle="1" w:styleId="CharChar114">
    <w:name w:val="Char Char114"/>
    <w:locked/>
    <w:rsid w:val="004A15FA"/>
    <w:rPr>
      <w:rFonts w:ascii="Cambria" w:hAnsi="Cambria" w:cs="Times New Roman"/>
      <w:sz w:val="24"/>
      <w:szCs w:val="24"/>
    </w:rPr>
  </w:style>
  <w:style w:type="character" w:customStyle="1" w:styleId="CharChar44">
    <w:name w:val="Char Char44"/>
    <w:locked/>
    <w:rsid w:val="004A15FA"/>
    <w:rPr>
      <w:rFonts w:ascii="Cambria" w:hAnsi="Cambria" w:cs="Times New Roman"/>
      <w:b/>
      <w:bCs/>
      <w:kern w:val="28"/>
      <w:sz w:val="32"/>
      <w:szCs w:val="32"/>
    </w:rPr>
  </w:style>
  <w:style w:type="character" w:customStyle="1" w:styleId="CharChar394">
    <w:name w:val="Char Char394"/>
    <w:rsid w:val="004A15FA"/>
    <w:rPr>
      <w:rFonts w:ascii="Arial" w:eastAsia="Times New Roman" w:hAnsi="Arial" w:cs="Arial"/>
      <w:b/>
      <w:bCs/>
      <w:i/>
      <w:iCs/>
      <w:sz w:val="28"/>
      <w:szCs w:val="28"/>
    </w:rPr>
  </w:style>
  <w:style w:type="paragraph" w:customStyle="1" w:styleId="ColorfulList-Accent15">
    <w:name w:val="Colorful List - Accent 15"/>
    <w:basedOn w:val="Normal"/>
    <w:qFormat/>
    <w:rsid w:val="004A15FA"/>
    <w:pPr>
      <w:ind w:left="720"/>
    </w:pPr>
    <w:rPr>
      <w:rFonts w:eastAsia="Times New Roman" w:cs="Times New Roman"/>
      <w:szCs w:val="24"/>
    </w:rPr>
  </w:style>
  <w:style w:type="paragraph" w:customStyle="1" w:styleId="NoSpacing51">
    <w:name w:val="No Spacing51"/>
    <w:uiPriority w:val="99"/>
    <w:qFormat/>
    <w:rsid w:val="004A15FA"/>
    <w:rPr>
      <w:rFonts w:ascii="Times New Roman" w:eastAsia="Times New Roman" w:hAnsi="Times New Roman" w:cs="Times New Roman"/>
      <w:sz w:val="24"/>
      <w:szCs w:val="24"/>
    </w:rPr>
  </w:style>
  <w:style w:type="paragraph" w:customStyle="1" w:styleId="Bibliography1">
    <w:name w:val="Bibliography1"/>
    <w:basedOn w:val="Normal"/>
    <w:next w:val="Normal"/>
    <w:rsid w:val="004A15FA"/>
    <w:rPr>
      <w:rFonts w:eastAsia="Times New Roman" w:cs="Times New Roman"/>
      <w:szCs w:val="24"/>
    </w:rPr>
  </w:style>
  <w:style w:type="paragraph" w:styleId="BlockText">
    <w:name w:val="Block Text"/>
    <w:basedOn w:val="Normal"/>
    <w:rsid w:val="004A15FA"/>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cs="Times New Roman"/>
      <w:i/>
      <w:iCs/>
      <w:color w:val="4F81BD"/>
      <w:szCs w:val="24"/>
    </w:rPr>
  </w:style>
  <w:style w:type="paragraph" w:styleId="BodyTextFirstIndent">
    <w:name w:val="Body Text First Indent"/>
    <w:basedOn w:val="BodyText"/>
    <w:link w:val="BodyTextFirstIndentChar"/>
    <w:rsid w:val="004A15FA"/>
    <w:pPr>
      <w:widowControl/>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autoSpaceDE/>
      <w:autoSpaceDN/>
      <w:adjustRightInd/>
      <w:ind w:firstLine="360"/>
    </w:pPr>
    <w:rPr>
      <w:u w:val="single"/>
    </w:rPr>
  </w:style>
  <w:style w:type="character" w:customStyle="1" w:styleId="BodyTextFirstIndentChar">
    <w:name w:val="Body Text First Indent Char"/>
    <w:basedOn w:val="BodyTextChar"/>
    <w:link w:val="BodyTextFirstIndent"/>
    <w:rsid w:val="004A15FA"/>
    <w:rPr>
      <w:rFonts w:ascii="Times New Roman" w:eastAsia="Times New Roman" w:hAnsi="Times New Roman" w:cs="Times New Roman"/>
      <w:sz w:val="24"/>
      <w:szCs w:val="24"/>
      <w:u w:val="single"/>
    </w:rPr>
  </w:style>
  <w:style w:type="paragraph" w:styleId="BodyTextFirstIndent2">
    <w:name w:val="Body Text First Indent 2"/>
    <w:basedOn w:val="BodyTextIndent"/>
    <w:link w:val="BodyTextFirstIndent2Char"/>
    <w:rsid w:val="004A15FA"/>
    <w:pPr>
      <w:spacing w:after="0"/>
      <w:ind w:firstLine="360"/>
    </w:pPr>
  </w:style>
  <w:style w:type="character" w:customStyle="1" w:styleId="BodyTextFirstIndent2Char">
    <w:name w:val="Body Text First Indent 2 Char"/>
    <w:basedOn w:val="BodyTextIndentChar"/>
    <w:link w:val="BodyTextFirstIndent2"/>
    <w:rsid w:val="004A15FA"/>
    <w:rPr>
      <w:rFonts w:ascii="Times New Roman" w:eastAsia="Times New Roman" w:hAnsi="Times New Roman" w:cs="Times New Roman"/>
      <w:sz w:val="24"/>
      <w:szCs w:val="24"/>
    </w:rPr>
  </w:style>
  <w:style w:type="paragraph" w:styleId="Closing">
    <w:name w:val="Closing"/>
    <w:basedOn w:val="Normal"/>
    <w:link w:val="ClosingChar"/>
    <w:rsid w:val="004A15FA"/>
    <w:pPr>
      <w:ind w:left="4320"/>
    </w:pPr>
    <w:rPr>
      <w:rFonts w:eastAsia="Times New Roman" w:cs="Times New Roman"/>
      <w:szCs w:val="24"/>
    </w:rPr>
  </w:style>
  <w:style w:type="character" w:customStyle="1" w:styleId="ClosingChar">
    <w:name w:val="Closing Char"/>
    <w:basedOn w:val="DefaultParagraphFont"/>
    <w:link w:val="Closing"/>
    <w:rsid w:val="004A15FA"/>
    <w:rPr>
      <w:rFonts w:ascii="Times New Roman" w:eastAsia="Times New Roman" w:hAnsi="Times New Roman" w:cs="Times New Roman"/>
      <w:sz w:val="24"/>
      <w:szCs w:val="24"/>
    </w:rPr>
  </w:style>
  <w:style w:type="paragraph" w:styleId="Date">
    <w:name w:val="Date"/>
    <w:basedOn w:val="Normal"/>
    <w:next w:val="Normal"/>
    <w:link w:val="DateChar"/>
    <w:rsid w:val="004A15FA"/>
    <w:rPr>
      <w:rFonts w:eastAsia="Times New Roman" w:cs="Times New Roman"/>
      <w:szCs w:val="24"/>
    </w:rPr>
  </w:style>
  <w:style w:type="character" w:customStyle="1" w:styleId="DateChar">
    <w:name w:val="Date Char"/>
    <w:basedOn w:val="DefaultParagraphFont"/>
    <w:link w:val="Date"/>
    <w:rsid w:val="004A15FA"/>
    <w:rPr>
      <w:rFonts w:ascii="Times New Roman" w:eastAsia="Times New Roman" w:hAnsi="Times New Roman" w:cs="Times New Roman"/>
      <w:sz w:val="24"/>
      <w:szCs w:val="24"/>
    </w:rPr>
  </w:style>
  <w:style w:type="paragraph" w:styleId="E-mailSignature">
    <w:name w:val="E-mail Signature"/>
    <w:basedOn w:val="Normal"/>
    <w:link w:val="E-mailSignatureChar"/>
    <w:rsid w:val="004A15FA"/>
    <w:rPr>
      <w:rFonts w:eastAsia="Times New Roman" w:cs="Times New Roman"/>
      <w:szCs w:val="24"/>
    </w:rPr>
  </w:style>
  <w:style w:type="character" w:customStyle="1" w:styleId="E-mailSignatureChar">
    <w:name w:val="E-mail Signature Char"/>
    <w:basedOn w:val="DefaultParagraphFont"/>
    <w:link w:val="E-mailSignature"/>
    <w:rsid w:val="004A15FA"/>
    <w:rPr>
      <w:rFonts w:ascii="Times New Roman" w:eastAsia="Times New Roman" w:hAnsi="Times New Roman" w:cs="Times New Roman"/>
      <w:sz w:val="24"/>
      <w:szCs w:val="24"/>
    </w:rPr>
  </w:style>
  <w:style w:type="paragraph" w:styleId="EnvelopeAddress">
    <w:name w:val="envelope address"/>
    <w:basedOn w:val="Normal"/>
    <w:rsid w:val="004A15FA"/>
    <w:pPr>
      <w:framePr w:w="7920" w:h="1980" w:hRule="exact" w:hSpace="180" w:wrap="auto" w:hAnchor="page" w:xAlign="center" w:yAlign="bottom"/>
      <w:ind w:left="2880"/>
    </w:pPr>
    <w:rPr>
      <w:rFonts w:ascii="Cambria" w:eastAsia="Times New Roman" w:hAnsi="Cambria" w:cs="Times New Roman"/>
      <w:szCs w:val="24"/>
    </w:rPr>
  </w:style>
  <w:style w:type="paragraph" w:styleId="EnvelopeReturn">
    <w:name w:val="envelope return"/>
    <w:basedOn w:val="Normal"/>
    <w:rsid w:val="004A15FA"/>
    <w:rPr>
      <w:rFonts w:ascii="Cambria" w:eastAsia="Times New Roman" w:hAnsi="Cambria" w:cs="Times New Roman"/>
      <w:sz w:val="20"/>
      <w:szCs w:val="20"/>
    </w:rPr>
  </w:style>
  <w:style w:type="paragraph" w:styleId="HTMLAddress">
    <w:name w:val="HTML Address"/>
    <w:basedOn w:val="Normal"/>
    <w:link w:val="HTMLAddressChar"/>
    <w:rsid w:val="004A15FA"/>
    <w:rPr>
      <w:rFonts w:eastAsia="Times New Roman" w:cs="Times New Roman"/>
      <w:i/>
      <w:iCs/>
      <w:szCs w:val="24"/>
    </w:rPr>
  </w:style>
  <w:style w:type="character" w:customStyle="1" w:styleId="HTMLAddressChar">
    <w:name w:val="HTML Address Char"/>
    <w:basedOn w:val="DefaultParagraphFont"/>
    <w:link w:val="HTMLAddress"/>
    <w:rsid w:val="004A15FA"/>
    <w:rPr>
      <w:rFonts w:ascii="Times New Roman" w:eastAsia="Times New Roman" w:hAnsi="Times New Roman" w:cs="Times New Roman"/>
      <w:i/>
      <w:iCs/>
      <w:sz w:val="24"/>
      <w:szCs w:val="24"/>
    </w:rPr>
  </w:style>
  <w:style w:type="paragraph" w:customStyle="1" w:styleId="LightShading-Accent21">
    <w:name w:val="Light Shading - Accent 21"/>
    <w:basedOn w:val="Normal"/>
    <w:next w:val="Normal"/>
    <w:link w:val="LightShading-Accent2Char"/>
    <w:qFormat/>
    <w:rsid w:val="004A15FA"/>
    <w:pPr>
      <w:pBdr>
        <w:bottom w:val="single" w:sz="4" w:space="4" w:color="4F81BD"/>
      </w:pBdr>
      <w:spacing w:before="200" w:after="280"/>
      <w:ind w:left="936" w:right="936"/>
    </w:pPr>
    <w:rPr>
      <w:rFonts w:eastAsia="Times New Roman" w:cs="Times New Roman"/>
      <w:b/>
      <w:bCs/>
      <w:i/>
      <w:iCs/>
      <w:color w:val="4F81BD"/>
      <w:szCs w:val="24"/>
    </w:rPr>
  </w:style>
  <w:style w:type="character" w:customStyle="1" w:styleId="LightShading-Accent2Char">
    <w:name w:val="Light Shading - Accent 2 Char"/>
    <w:link w:val="LightShading-Accent21"/>
    <w:rsid w:val="004A15FA"/>
    <w:rPr>
      <w:rFonts w:ascii="Times New Roman" w:eastAsia="Times New Roman" w:hAnsi="Times New Roman" w:cs="Times New Roman"/>
      <w:b/>
      <w:bCs/>
      <w:i/>
      <w:iCs/>
      <w:color w:val="4F81BD"/>
      <w:sz w:val="24"/>
      <w:szCs w:val="24"/>
    </w:rPr>
  </w:style>
  <w:style w:type="paragraph" w:styleId="List3">
    <w:name w:val="List 3"/>
    <w:basedOn w:val="Normal"/>
    <w:rsid w:val="004A15FA"/>
    <w:pPr>
      <w:ind w:left="1080" w:hanging="360"/>
      <w:contextualSpacing/>
    </w:pPr>
    <w:rPr>
      <w:rFonts w:eastAsia="Times New Roman" w:cs="Times New Roman"/>
      <w:szCs w:val="24"/>
    </w:rPr>
  </w:style>
  <w:style w:type="paragraph" w:styleId="List4">
    <w:name w:val="List 4"/>
    <w:basedOn w:val="Normal"/>
    <w:rsid w:val="004A15FA"/>
    <w:pPr>
      <w:ind w:left="1440" w:hanging="360"/>
      <w:contextualSpacing/>
    </w:pPr>
    <w:rPr>
      <w:rFonts w:eastAsia="Times New Roman" w:cs="Times New Roman"/>
      <w:szCs w:val="24"/>
    </w:rPr>
  </w:style>
  <w:style w:type="paragraph" w:styleId="List5">
    <w:name w:val="List 5"/>
    <w:basedOn w:val="Normal"/>
    <w:rsid w:val="004A15FA"/>
    <w:pPr>
      <w:ind w:left="1800" w:hanging="360"/>
      <w:contextualSpacing/>
    </w:pPr>
    <w:rPr>
      <w:rFonts w:eastAsia="Times New Roman" w:cs="Times New Roman"/>
      <w:szCs w:val="24"/>
    </w:rPr>
  </w:style>
  <w:style w:type="paragraph" w:styleId="ListContinue">
    <w:name w:val="List Continue"/>
    <w:basedOn w:val="Normal"/>
    <w:rsid w:val="004A15FA"/>
    <w:pPr>
      <w:spacing w:after="120"/>
      <w:ind w:left="360"/>
      <w:contextualSpacing/>
    </w:pPr>
    <w:rPr>
      <w:rFonts w:eastAsia="Times New Roman" w:cs="Times New Roman"/>
      <w:szCs w:val="24"/>
    </w:rPr>
  </w:style>
  <w:style w:type="paragraph" w:styleId="ListContinue3">
    <w:name w:val="List Continue 3"/>
    <w:basedOn w:val="Normal"/>
    <w:rsid w:val="004A15FA"/>
    <w:pPr>
      <w:spacing w:after="120"/>
      <w:ind w:left="1080"/>
      <w:contextualSpacing/>
    </w:pPr>
    <w:rPr>
      <w:rFonts w:eastAsia="Times New Roman" w:cs="Times New Roman"/>
      <w:szCs w:val="24"/>
    </w:rPr>
  </w:style>
  <w:style w:type="paragraph" w:styleId="ListContinue4">
    <w:name w:val="List Continue 4"/>
    <w:basedOn w:val="Normal"/>
    <w:rsid w:val="004A15FA"/>
    <w:pPr>
      <w:spacing w:after="120"/>
      <w:ind w:left="1440"/>
      <w:contextualSpacing/>
    </w:pPr>
    <w:rPr>
      <w:rFonts w:eastAsia="Times New Roman" w:cs="Times New Roman"/>
      <w:szCs w:val="24"/>
    </w:rPr>
  </w:style>
  <w:style w:type="paragraph" w:styleId="ListContinue5">
    <w:name w:val="List Continue 5"/>
    <w:basedOn w:val="Normal"/>
    <w:rsid w:val="004A15FA"/>
    <w:pPr>
      <w:spacing w:after="120"/>
      <w:ind w:left="1800"/>
      <w:contextualSpacing/>
    </w:pPr>
    <w:rPr>
      <w:rFonts w:eastAsia="Times New Roman" w:cs="Times New Roman"/>
      <w:szCs w:val="24"/>
    </w:rPr>
  </w:style>
  <w:style w:type="paragraph" w:styleId="MacroText">
    <w:name w:val="macro"/>
    <w:link w:val="MacroTextChar"/>
    <w:rsid w:val="004A15FA"/>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4"/>
      <w:szCs w:val="24"/>
    </w:rPr>
  </w:style>
  <w:style w:type="character" w:customStyle="1" w:styleId="MacroTextChar">
    <w:name w:val="Macro Text Char"/>
    <w:basedOn w:val="DefaultParagraphFont"/>
    <w:link w:val="MacroText"/>
    <w:rsid w:val="004A15FA"/>
    <w:rPr>
      <w:rFonts w:ascii="Consolas" w:eastAsia="Times New Roman" w:hAnsi="Consolas" w:cs="Times New Roman"/>
      <w:sz w:val="24"/>
      <w:szCs w:val="24"/>
    </w:rPr>
  </w:style>
  <w:style w:type="paragraph" w:styleId="MessageHeader">
    <w:name w:val="Message Header"/>
    <w:basedOn w:val="Normal"/>
    <w:link w:val="MessageHeaderChar"/>
    <w:rsid w:val="004A15F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Cs w:val="24"/>
    </w:rPr>
  </w:style>
  <w:style w:type="character" w:customStyle="1" w:styleId="MessageHeaderChar">
    <w:name w:val="Message Header Char"/>
    <w:basedOn w:val="DefaultParagraphFont"/>
    <w:link w:val="MessageHeader"/>
    <w:rsid w:val="004A15FA"/>
    <w:rPr>
      <w:rFonts w:ascii="Cambria" w:eastAsia="Times New Roman" w:hAnsi="Cambria" w:cs="Times New Roman"/>
      <w:sz w:val="24"/>
      <w:szCs w:val="24"/>
      <w:shd w:val="pct20" w:color="auto" w:fill="auto"/>
    </w:rPr>
  </w:style>
  <w:style w:type="paragraph" w:customStyle="1" w:styleId="NoSpacing6">
    <w:name w:val="No Spacing6"/>
    <w:qFormat/>
    <w:rsid w:val="004A15FA"/>
    <w:rPr>
      <w:rFonts w:ascii="Times New Roman" w:eastAsia="Times New Roman" w:hAnsi="Times New Roman" w:cs="Times New Roman"/>
      <w:sz w:val="24"/>
      <w:szCs w:val="24"/>
    </w:rPr>
  </w:style>
  <w:style w:type="paragraph" w:styleId="NormalIndent">
    <w:name w:val="Normal Indent"/>
    <w:basedOn w:val="Normal"/>
    <w:rsid w:val="004A15FA"/>
    <w:pPr>
      <w:ind w:left="720"/>
    </w:pPr>
    <w:rPr>
      <w:rFonts w:eastAsia="Times New Roman" w:cs="Times New Roman"/>
      <w:szCs w:val="24"/>
    </w:rPr>
  </w:style>
  <w:style w:type="paragraph" w:styleId="NoteHeading">
    <w:name w:val="Note Heading"/>
    <w:basedOn w:val="Normal"/>
    <w:next w:val="Normal"/>
    <w:link w:val="NoteHeadingChar"/>
    <w:rsid w:val="004A15FA"/>
    <w:rPr>
      <w:rFonts w:eastAsia="Times New Roman" w:cs="Times New Roman"/>
      <w:szCs w:val="24"/>
    </w:rPr>
  </w:style>
  <w:style w:type="character" w:customStyle="1" w:styleId="NoteHeadingChar">
    <w:name w:val="Note Heading Char"/>
    <w:basedOn w:val="DefaultParagraphFont"/>
    <w:link w:val="NoteHeading"/>
    <w:rsid w:val="004A15FA"/>
    <w:rPr>
      <w:rFonts w:ascii="Times New Roman" w:eastAsia="Times New Roman" w:hAnsi="Times New Roman" w:cs="Times New Roman"/>
      <w:sz w:val="24"/>
      <w:szCs w:val="24"/>
    </w:rPr>
  </w:style>
  <w:style w:type="paragraph" w:customStyle="1" w:styleId="ColorfulGrid-Accent11">
    <w:name w:val="Colorful Grid - Accent 11"/>
    <w:basedOn w:val="Normal"/>
    <w:next w:val="Normal"/>
    <w:link w:val="ColorfulGrid-Accent1Char"/>
    <w:qFormat/>
    <w:rsid w:val="004A15FA"/>
    <w:rPr>
      <w:rFonts w:eastAsia="Times New Roman" w:cs="Times New Roman"/>
      <w:i/>
      <w:iCs/>
      <w:color w:val="000000"/>
      <w:szCs w:val="24"/>
    </w:rPr>
  </w:style>
  <w:style w:type="character" w:customStyle="1" w:styleId="ColorfulGrid-Accent1Char">
    <w:name w:val="Colorful Grid - Accent 1 Char"/>
    <w:link w:val="ColorfulGrid-Accent11"/>
    <w:rsid w:val="004A15FA"/>
    <w:rPr>
      <w:rFonts w:ascii="Times New Roman" w:eastAsia="Times New Roman" w:hAnsi="Times New Roman" w:cs="Times New Roman"/>
      <w:i/>
      <w:iCs/>
      <w:color w:val="000000"/>
      <w:sz w:val="24"/>
      <w:szCs w:val="24"/>
    </w:rPr>
  </w:style>
  <w:style w:type="paragraph" w:styleId="Salutation">
    <w:name w:val="Salutation"/>
    <w:basedOn w:val="Normal"/>
    <w:next w:val="Normal"/>
    <w:link w:val="SalutationChar"/>
    <w:rsid w:val="004A15FA"/>
    <w:rPr>
      <w:rFonts w:eastAsia="Times New Roman" w:cs="Times New Roman"/>
      <w:szCs w:val="24"/>
    </w:rPr>
  </w:style>
  <w:style w:type="character" w:customStyle="1" w:styleId="SalutationChar">
    <w:name w:val="Salutation Char"/>
    <w:basedOn w:val="DefaultParagraphFont"/>
    <w:link w:val="Salutation"/>
    <w:rsid w:val="004A15FA"/>
    <w:rPr>
      <w:rFonts w:ascii="Times New Roman" w:eastAsia="Times New Roman" w:hAnsi="Times New Roman" w:cs="Times New Roman"/>
      <w:sz w:val="24"/>
      <w:szCs w:val="24"/>
    </w:rPr>
  </w:style>
  <w:style w:type="paragraph" w:styleId="Signature">
    <w:name w:val="Signature"/>
    <w:basedOn w:val="Normal"/>
    <w:link w:val="SignatureChar"/>
    <w:rsid w:val="004A15FA"/>
    <w:pPr>
      <w:ind w:left="4320"/>
    </w:pPr>
    <w:rPr>
      <w:rFonts w:eastAsia="Times New Roman" w:cs="Times New Roman"/>
      <w:szCs w:val="24"/>
    </w:rPr>
  </w:style>
  <w:style w:type="character" w:customStyle="1" w:styleId="SignatureChar">
    <w:name w:val="Signature Char"/>
    <w:basedOn w:val="DefaultParagraphFont"/>
    <w:link w:val="Signature"/>
    <w:rsid w:val="004A15FA"/>
    <w:rPr>
      <w:rFonts w:ascii="Times New Roman" w:eastAsia="Times New Roman" w:hAnsi="Times New Roman" w:cs="Times New Roman"/>
      <w:sz w:val="24"/>
      <w:szCs w:val="24"/>
    </w:rPr>
  </w:style>
  <w:style w:type="paragraph" w:styleId="TableofAuthorities">
    <w:name w:val="table of authorities"/>
    <w:basedOn w:val="Normal"/>
    <w:next w:val="Normal"/>
    <w:rsid w:val="004A15FA"/>
    <w:pPr>
      <w:ind w:left="240" w:hanging="240"/>
    </w:pPr>
    <w:rPr>
      <w:rFonts w:eastAsia="Times New Roman" w:cs="Times New Roman"/>
      <w:szCs w:val="24"/>
    </w:rPr>
  </w:style>
  <w:style w:type="paragraph" w:styleId="TOAHeading">
    <w:name w:val="toa heading"/>
    <w:basedOn w:val="Normal"/>
    <w:next w:val="Normal"/>
    <w:rsid w:val="004A15FA"/>
    <w:pPr>
      <w:spacing w:before="120"/>
    </w:pPr>
    <w:rPr>
      <w:rFonts w:ascii="Cambria" w:eastAsia="Times New Roman" w:hAnsi="Cambria" w:cs="Times New Roman"/>
      <w:b/>
      <w:bCs/>
      <w:szCs w:val="24"/>
    </w:rPr>
  </w:style>
  <w:style w:type="paragraph" w:customStyle="1" w:styleId="ColorfulList-Accent16">
    <w:name w:val="Colorful List - Accent 16"/>
    <w:basedOn w:val="Normal"/>
    <w:uiPriority w:val="34"/>
    <w:qFormat/>
    <w:rsid w:val="004A15FA"/>
    <w:pPr>
      <w:ind w:left="720"/>
    </w:pPr>
    <w:rPr>
      <w:rFonts w:eastAsia="Times New Roman" w:cs="Times New Roman"/>
      <w:szCs w:val="24"/>
    </w:rPr>
  </w:style>
  <w:style w:type="paragraph" w:customStyle="1" w:styleId="LightGrid-Accent311">
    <w:name w:val="Light Grid - Accent 311"/>
    <w:basedOn w:val="Normal"/>
    <w:uiPriority w:val="34"/>
    <w:qFormat/>
    <w:rsid w:val="004A15FA"/>
    <w:pPr>
      <w:ind w:left="720"/>
      <w:contextualSpacing/>
    </w:pPr>
    <w:rPr>
      <w:rFonts w:ascii="Calibri" w:eastAsia="Calibri" w:hAnsi="Calibri" w:cs="Times New Roman"/>
      <w:sz w:val="22"/>
    </w:rPr>
  </w:style>
  <w:style w:type="table" w:customStyle="1" w:styleId="LightGrid-Accent11">
    <w:name w:val="Light Grid - Accent 11"/>
    <w:basedOn w:val="TableNormal"/>
    <w:rsid w:val="004A15FA"/>
    <w:rPr>
      <w:rFonts w:ascii="Times New Roman" w:eastAsia="Times New Roman" w:hAnsi="Times New Roman" w:cs="Times New Roman"/>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Heading4CharCharCharChar12ptNotBold">
    <w:name w:val="Style Heading 4 Char Char Char Char + 12 pt Not Bold"/>
    <w:rsid w:val="004A15FA"/>
    <w:rPr>
      <w:rFonts w:ascii="Times New Roman" w:hAnsi="Times New Roman"/>
      <w:b w:val="0"/>
      <w:bCs w:val="0"/>
      <w:sz w:val="24"/>
      <w:szCs w:val="28"/>
      <w:lang w:val="en-US" w:eastAsia="en-US" w:bidi="ar-SA"/>
    </w:rPr>
  </w:style>
  <w:style w:type="paragraph" w:customStyle="1" w:styleId="NoSpacing7">
    <w:name w:val="No Spacing7"/>
    <w:uiPriority w:val="1"/>
    <w:qFormat/>
    <w:rsid w:val="004A15FA"/>
    <w:rPr>
      <w:rFonts w:ascii="Times New Roman" w:eastAsia="Times New Roman" w:hAnsi="Times New Roman" w:cs="Times New Roman"/>
      <w:sz w:val="24"/>
      <w:szCs w:val="24"/>
    </w:rPr>
  </w:style>
  <w:style w:type="character" w:customStyle="1" w:styleId="EmailStyle54">
    <w:name w:val="EmailStyle54"/>
    <w:semiHidden/>
    <w:rsid w:val="004A15FA"/>
    <w:rPr>
      <w:rFonts w:ascii="Arial" w:hAnsi="Arial" w:cs="Arial" w:hint="default"/>
      <w:color w:val="auto"/>
      <w:sz w:val="20"/>
      <w:szCs w:val="20"/>
    </w:rPr>
  </w:style>
  <w:style w:type="character" w:customStyle="1" w:styleId="Heading4Char3">
    <w:name w:val="Heading 4 Char3"/>
    <w:rsid w:val="004A15FA"/>
    <w:rPr>
      <w:rFonts w:ascii="Times New Roman" w:eastAsia="Times New Roman" w:hAnsi="Times New Roman" w:cs="Times New Roman"/>
      <w:b/>
      <w:bCs/>
      <w:iCs/>
      <w:sz w:val="24"/>
      <w:szCs w:val="24"/>
    </w:rPr>
  </w:style>
  <w:style w:type="table" w:styleId="TableElegant">
    <w:name w:val="Table Elegant"/>
    <w:basedOn w:val="TableNormal"/>
    <w:rsid w:val="004A15FA"/>
    <w:rPr>
      <w:rFonts w:ascii="Times New Roman" w:eastAsia="Times New Roman" w:hAnsi="Times New Roman" w:cs="Times New Roman"/>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31">
    <w:name w:val="Heading 31"/>
    <w:basedOn w:val="Normal"/>
    <w:next w:val="Normal"/>
    <w:qFormat/>
    <w:rsid w:val="004A15FA"/>
    <w:pPr>
      <w:keepNext/>
      <w:tabs>
        <w:tab w:val="num" w:pos="720"/>
      </w:tabs>
      <w:spacing w:before="240" w:after="60"/>
      <w:ind w:left="720" w:hanging="720"/>
    </w:pPr>
    <w:rPr>
      <w:rFonts w:ascii="Arial" w:eastAsia="Times New Roman" w:hAnsi="Arial" w:cs="Arial"/>
      <w:b/>
      <w:bCs/>
      <w:szCs w:val="26"/>
    </w:rPr>
  </w:style>
  <w:style w:type="numbering" w:customStyle="1" w:styleId="NoList1">
    <w:name w:val="No List1"/>
    <w:next w:val="NoList"/>
    <w:semiHidden/>
    <w:rsid w:val="004A15FA"/>
  </w:style>
  <w:style w:type="paragraph" w:customStyle="1" w:styleId="BodyTextIn">
    <w:name w:val="Body Text In"/>
    <w:uiPriority w:val="99"/>
    <w:rsid w:val="004A15FA"/>
    <w:pPr>
      <w:tabs>
        <w:tab w:val="left" w:pos="-90"/>
        <w:tab w:val="left" w:pos="0"/>
        <w:tab w:val="left" w:pos="9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270"/>
        <w:tab w:val="left" w:pos="9360"/>
      </w:tabs>
      <w:autoSpaceDE w:val="0"/>
      <w:autoSpaceDN w:val="0"/>
      <w:adjustRightInd w:val="0"/>
      <w:ind w:left="90"/>
    </w:pPr>
    <w:rPr>
      <w:rFonts w:ascii="Times New Roman" w:eastAsia="Times New Roman" w:hAnsi="Times New Roman" w:cs="Times New Roman"/>
      <w:sz w:val="24"/>
      <w:szCs w:val="24"/>
    </w:rPr>
  </w:style>
  <w:style w:type="paragraph" w:customStyle="1" w:styleId="CM26">
    <w:name w:val="CM26"/>
    <w:basedOn w:val="Normal"/>
    <w:next w:val="Normal"/>
    <w:uiPriority w:val="99"/>
    <w:rsid w:val="004A15FA"/>
    <w:pPr>
      <w:autoSpaceDE w:val="0"/>
      <w:autoSpaceDN w:val="0"/>
      <w:adjustRightInd w:val="0"/>
    </w:pPr>
    <w:rPr>
      <w:rFonts w:eastAsia="Times New Roman" w:cs="Times New Roman"/>
      <w:szCs w:val="24"/>
    </w:rPr>
  </w:style>
  <w:style w:type="paragraph" w:customStyle="1" w:styleId="maintext">
    <w:name w:val="maintext"/>
    <w:basedOn w:val="Normal"/>
    <w:rsid w:val="004A15FA"/>
    <w:pPr>
      <w:spacing w:before="100" w:beforeAutospacing="1" w:after="100" w:afterAutospacing="1"/>
    </w:pPr>
    <w:rPr>
      <w:rFonts w:eastAsia="Times New Roman" w:cs="Times New Roman"/>
      <w:szCs w:val="24"/>
    </w:rPr>
  </w:style>
  <w:style w:type="character" w:customStyle="1" w:styleId="maintext1">
    <w:name w:val="maintext1"/>
    <w:basedOn w:val="DefaultParagraphFont"/>
    <w:rsid w:val="004A15FA"/>
  </w:style>
  <w:style w:type="paragraph" w:customStyle="1" w:styleId="missiontxt">
    <w:name w:val="mission_txt"/>
    <w:basedOn w:val="Normal"/>
    <w:rsid w:val="004A15FA"/>
    <w:pPr>
      <w:spacing w:before="100" w:beforeAutospacing="1" w:after="100" w:afterAutospacing="1"/>
    </w:pPr>
    <w:rPr>
      <w:rFonts w:eastAsia="Times New Roman" w:cs="Times New Roman"/>
      <w:szCs w:val="24"/>
    </w:rPr>
  </w:style>
  <w:style w:type="paragraph" w:customStyle="1" w:styleId="TableKCaption">
    <w:name w:val="TableK Caption"/>
    <w:basedOn w:val="Normal"/>
    <w:next w:val="BodyText"/>
    <w:qFormat/>
    <w:rsid w:val="004A15FA"/>
    <w:rPr>
      <w:rFonts w:eastAsia="Times New Roman" w:cs="Times New Roman"/>
      <w:szCs w:val="24"/>
    </w:rPr>
  </w:style>
  <w:style w:type="character" w:customStyle="1" w:styleId="EmailStyle541">
    <w:name w:val="EmailStyle541"/>
    <w:semiHidden/>
    <w:rsid w:val="004A15FA"/>
    <w:rPr>
      <w:rFonts w:ascii="Arial" w:hAnsi="Arial" w:cs="Arial" w:hint="default"/>
      <w:color w:val="auto"/>
      <w:sz w:val="20"/>
      <w:szCs w:val="20"/>
    </w:rPr>
  </w:style>
  <w:style w:type="character" w:customStyle="1" w:styleId="Heading1Char2">
    <w:name w:val="Heading 1 Char2"/>
    <w:rsid w:val="004A15FA"/>
    <w:rPr>
      <w:rFonts w:ascii="Times New Roman" w:eastAsia="Times New Roman" w:hAnsi="Times New Roman" w:cs="Times New Roman"/>
      <w:b/>
      <w:bCs/>
      <w:sz w:val="24"/>
      <w:szCs w:val="28"/>
    </w:rPr>
  </w:style>
  <w:style w:type="character" w:customStyle="1" w:styleId="Heading1Char3">
    <w:name w:val="Heading 1 Char3"/>
    <w:rsid w:val="004A15FA"/>
    <w:rPr>
      <w:rFonts w:ascii="Times New Roman" w:eastAsia="Times New Roman" w:hAnsi="Times New Roman" w:cs="Times New Roman"/>
      <w:b/>
      <w:bCs/>
      <w:sz w:val="24"/>
      <w:szCs w:val="28"/>
    </w:rPr>
  </w:style>
  <w:style w:type="character" w:customStyle="1" w:styleId="Heading2Char1">
    <w:name w:val="Heading 2 Char1"/>
    <w:rsid w:val="004A15FA"/>
    <w:rPr>
      <w:rFonts w:ascii="Times New Roman" w:eastAsia="Times New Roman" w:hAnsi="Times New Roman" w:cs="Times New Roman"/>
      <w:b/>
      <w:bCs/>
      <w:sz w:val="24"/>
      <w:szCs w:val="26"/>
    </w:rPr>
  </w:style>
  <w:style w:type="character" w:customStyle="1" w:styleId="volume">
    <w:name w:val="volume"/>
    <w:basedOn w:val="DefaultParagraphFont"/>
    <w:rsid w:val="004A15FA"/>
  </w:style>
  <w:style w:type="character" w:customStyle="1" w:styleId="page">
    <w:name w:val="page"/>
    <w:basedOn w:val="DefaultParagraphFont"/>
    <w:rsid w:val="004A15FA"/>
  </w:style>
  <w:style w:type="character" w:customStyle="1" w:styleId="e-04">
    <w:name w:val="e-04"/>
    <w:basedOn w:val="DefaultParagraphFont"/>
    <w:rsid w:val="004A15FA"/>
  </w:style>
  <w:style w:type="character" w:customStyle="1" w:styleId="A4">
    <w:name w:val="A4"/>
    <w:uiPriority w:val="99"/>
    <w:rsid w:val="004A15FA"/>
    <w:rPr>
      <w:color w:val="221E1F"/>
      <w:sz w:val="18"/>
      <w:szCs w:val="18"/>
    </w:rPr>
  </w:style>
  <w:style w:type="paragraph" w:customStyle="1" w:styleId="MediumList2-Accent22">
    <w:name w:val="Medium List 2 - Accent 22"/>
    <w:hidden/>
    <w:rsid w:val="004A15FA"/>
    <w:rPr>
      <w:rFonts w:ascii="Times New Roman" w:eastAsia="Times New Roman" w:hAnsi="Times New Roman" w:cs="Times New Roman"/>
      <w:sz w:val="24"/>
      <w:szCs w:val="24"/>
    </w:rPr>
  </w:style>
  <w:style w:type="paragraph" w:styleId="Revision">
    <w:name w:val="Revision"/>
    <w:hidden/>
    <w:rsid w:val="004A15FA"/>
    <w:rPr>
      <w:rFonts w:ascii="Times New Roman" w:eastAsia="Times New Roman" w:hAnsi="Times New Roman" w:cs="Times New Roman"/>
      <w:sz w:val="24"/>
      <w:szCs w:val="24"/>
    </w:rPr>
  </w:style>
  <w:style w:type="table" w:styleId="LightList-Accent3">
    <w:name w:val="Light List Accent 3"/>
    <w:basedOn w:val="TableNormal"/>
    <w:uiPriority w:val="71"/>
    <w:rsid w:val="004A15FA"/>
    <w:rPr>
      <w:rFonts w:ascii="Times New Roman" w:eastAsia="Times New Roman" w:hAnsi="Times New Roman" w:cs="Times New Roman"/>
      <w:color w:val="000000"/>
      <w:sz w:val="24"/>
      <w:szCs w:val="24"/>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57">
    <w:name w:val="EmailStyle57"/>
    <w:basedOn w:val="DefaultParagraphFont"/>
    <w:semiHidden/>
    <w:rsid w:val="004A15FA"/>
    <w:rPr>
      <w:rFonts w:ascii="Arial" w:hAnsi="Arial" w:cs="Arial" w:hint="default"/>
      <w:color w:val="auto"/>
      <w:sz w:val="20"/>
      <w:szCs w:val="20"/>
    </w:rPr>
  </w:style>
  <w:style w:type="character" w:customStyle="1" w:styleId="EmailStyle343">
    <w:name w:val="EmailStyle343"/>
    <w:basedOn w:val="DefaultParagraphFont"/>
    <w:semiHidden/>
    <w:rsid w:val="004A15FA"/>
    <w:rPr>
      <w:rFonts w:ascii="Arial" w:hAnsi="Arial" w:cs="Arial" w:hint="default"/>
      <w:color w:val="auto"/>
      <w:sz w:val="20"/>
      <w:szCs w:val="20"/>
    </w:rPr>
  </w:style>
  <w:style w:type="character" w:customStyle="1" w:styleId="EmailStyle358">
    <w:name w:val="EmailStyle358"/>
    <w:basedOn w:val="DefaultParagraphFont"/>
    <w:semiHidden/>
    <w:rsid w:val="004A15FA"/>
    <w:rPr>
      <w:rFonts w:ascii="Arial" w:hAnsi="Arial" w:cs="Arial" w:hint="default"/>
      <w:color w:val="auto"/>
      <w:sz w:val="20"/>
      <w:szCs w:val="20"/>
    </w:rPr>
  </w:style>
  <w:style w:type="character" w:customStyle="1" w:styleId="EmailStyle359">
    <w:name w:val="EmailStyle359"/>
    <w:basedOn w:val="DefaultParagraphFont"/>
    <w:semiHidden/>
    <w:rsid w:val="004A15FA"/>
    <w:rPr>
      <w:rFonts w:ascii="Arial" w:hAnsi="Arial" w:cs="Arial" w:hint="default"/>
      <w:color w:val="auto"/>
      <w:sz w:val="20"/>
      <w:szCs w:val="20"/>
    </w:rPr>
  </w:style>
  <w:style w:type="character" w:customStyle="1" w:styleId="EmailStyle369">
    <w:name w:val="EmailStyle369"/>
    <w:basedOn w:val="DefaultParagraphFont"/>
    <w:semiHidden/>
    <w:rsid w:val="004A15FA"/>
    <w:rPr>
      <w:rFonts w:ascii="Arial" w:hAnsi="Arial" w:cs="Arial" w:hint="default"/>
      <w:color w:val="auto"/>
      <w:sz w:val="20"/>
      <w:szCs w:val="20"/>
    </w:rPr>
  </w:style>
  <w:style w:type="table" w:styleId="MediumShading2-Accent6">
    <w:name w:val="Medium Shading 2 Accent 6"/>
    <w:basedOn w:val="TableNormal"/>
    <w:uiPriority w:val="71"/>
    <w:rsid w:val="004A15FA"/>
    <w:rPr>
      <w:rFonts w:ascii="Times New Roman" w:eastAsia="Times New Roman" w:hAnsi="Times New Roman" w:cs="Times New Roman"/>
      <w:color w:val="000000"/>
      <w:sz w:val="24"/>
      <w:szCs w:val="24"/>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apple-converted-space">
    <w:name w:val="apple-converted-space"/>
    <w:rsid w:val="004A15FA"/>
  </w:style>
  <w:style w:type="character" w:customStyle="1" w:styleId="articletitle">
    <w:name w:val="articletitle"/>
    <w:basedOn w:val="DefaultParagraphFont"/>
    <w:rsid w:val="004A15FA"/>
  </w:style>
  <w:style w:type="character" w:customStyle="1" w:styleId="journaltitle">
    <w:name w:val="journaltitle"/>
    <w:basedOn w:val="DefaultParagraphFont"/>
    <w:rsid w:val="004A15FA"/>
  </w:style>
  <w:style w:type="character" w:customStyle="1" w:styleId="vol">
    <w:name w:val="vol"/>
    <w:basedOn w:val="DefaultParagraphFont"/>
    <w:rsid w:val="004A15F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Note Level 1" w:uiPriority="99"/>
    <w:lsdException w:name="Note Level 2" w:uiPriority="99"/>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7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1"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71"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1"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77A"/>
    <w:rPr>
      <w:rFonts w:ascii="Times New Roman" w:hAnsi="Times New Roman"/>
      <w:sz w:val="24"/>
    </w:rPr>
  </w:style>
  <w:style w:type="paragraph" w:styleId="Heading1">
    <w:name w:val="heading 1"/>
    <w:basedOn w:val="Normal"/>
    <w:next w:val="Normal"/>
    <w:link w:val="Heading1Char"/>
    <w:qFormat/>
    <w:rsid w:val="00100CA1"/>
    <w:pPr>
      <w:keepNext/>
      <w:spacing w:before="240" w:after="60"/>
      <w:outlineLvl w:val="0"/>
    </w:pPr>
    <w:rPr>
      <w:rFonts w:eastAsia="Times New Roman" w:cs="Arial"/>
      <w:b/>
      <w:bCs/>
      <w:kern w:val="32"/>
      <w:szCs w:val="32"/>
    </w:rPr>
  </w:style>
  <w:style w:type="paragraph" w:styleId="Heading2">
    <w:name w:val="heading 2"/>
    <w:basedOn w:val="Normal"/>
    <w:next w:val="Normal"/>
    <w:link w:val="Heading2Char"/>
    <w:qFormat/>
    <w:rsid w:val="008F6EE2"/>
    <w:pPr>
      <w:keepNext/>
      <w:numPr>
        <w:ilvl w:val="1"/>
        <w:numId w:val="1"/>
      </w:numPr>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8F6EE2"/>
    <w:pPr>
      <w:keepNext/>
      <w:numPr>
        <w:ilvl w:val="2"/>
        <w:numId w:val="1"/>
      </w:numPr>
      <w:spacing w:before="240" w:after="60"/>
      <w:outlineLvl w:val="2"/>
    </w:pPr>
    <w:rPr>
      <w:rFonts w:ascii="Arial" w:eastAsia="Times New Roman" w:hAnsi="Arial" w:cs="Arial"/>
      <w:b/>
      <w:bCs/>
      <w:szCs w:val="26"/>
    </w:rPr>
  </w:style>
  <w:style w:type="paragraph" w:styleId="Heading4">
    <w:name w:val="heading 4"/>
    <w:aliases w:val="Heading 4 Char Char"/>
    <w:basedOn w:val="Normal"/>
    <w:next w:val="Normal"/>
    <w:link w:val="Heading4Char"/>
    <w:qFormat/>
    <w:rsid w:val="008F6EE2"/>
    <w:pPr>
      <w:keepNext/>
      <w:numPr>
        <w:ilvl w:val="3"/>
        <w:numId w:val="1"/>
      </w:numPr>
      <w:spacing w:before="240" w:after="60"/>
      <w:outlineLvl w:val="3"/>
    </w:pPr>
    <w:rPr>
      <w:rFonts w:eastAsia="Times New Roman" w:cs="Times New Roman"/>
      <w:b/>
      <w:bCs/>
      <w:sz w:val="28"/>
      <w:szCs w:val="28"/>
    </w:rPr>
  </w:style>
  <w:style w:type="paragraph" w:styleId="Heading5">
    <w:name w:val="heading 5"/>
    <w:basedOn w:val="Normal"/>
    <w:next w:val="Normal"/>
    <w:link w:val="Heading5Char"/>
    <w:qFormat/>
    <w:rsid w:val="008F6EE2"/>
    <w:pPr>
      <w:numPr>
        <w:ilvl w:val="4"/>
        <w:numId w:val="1"/>
      </w:num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8F6EE2"/>
    <w:pPr>
      <w:numPr>
        <w:ilvl w:val="5"/>
        <w:numId w:val="1"/>
      </w:numPr>
      <w:spacing w:before="240" w:after="60"/>
      <w:outlineLvl w:val="5"/>
    </w:pPr>
    <w:rPr>
      <w:rFonts w:eastAsia="Times New Roman" w:cs="Times New Roman"/>
      <w:b/>
      <w:bCs/>
    </w:rPr>
  </w:style>
  <w:style w:type="paragraph" w:styleId="Heading7">
    <w:name w:val="heading 7"/>
    <w:basedOn w:val="Normal"/>
    <w:next w:val="Normal"/>
    <w:link w:val="Heading7Char"/>
    <w:qFormat/>
    <w:rsid w:val="008F6EE2"/>
    <w:pPr>
      <w:numPr>
        <w:ilvl w:val="6"/>
        <w:numId w:val="1"/>
      </w:numPr>
      <w:spacing w:before="240" w:after="60"/>
      <w:outlineLvl w:val="6"/>
    </w:pPr>
    <w:rPr>
      <w:rFonts w:eastAsia="Times New Roman" w:cs="Times New Roman"/>
      <w:szCs w:val="24"/>
    </w:rPr>
  </w:style>
  <w:style w:type="paragraph" w:styleId="Heading8">
    <w:name w:val="heading 8"/>
    <w:basedOn w:val="Normal"/>
    <w:next w:val="Normal"/>
    <w:link w:val="Heading8Char"/>
    <w:qFormat/>
    <w:rsid w:val="008F6EE2"/>
    <w:pPr>
      <w:numPr>
        <w:ilvl w:val="7"/>
        <w:numId w:val="1"/>
      </w:numPr>
      <w:spacing w:before="240" w:after="60"/>
      <w:outlineLvl w:val="7"/>
    </w:pPr>
    <w:rPr>
      <w:rFonts w:eastAsia="Times New Roman" w:cs="Times New Roman"/>
      <w:i/>
      <w:iCs/>
      <w:szCs w:val="24"/>
    </w:rPr>
  </w:style>
  <w:style w:type="paragraph" w:styleId="Heading9">
    <w:name w:val="heading 9"/>
    <w:basedOn w:val="Normal"/>
    <w:next w:val="Normal"/>
    <w:link w:val="Heading9Char"/>
    <w:qFormat/>
    <w:rsid w:val="008F6EE2"/>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FB3165"/>
    <w:rPr>
      <w:rFonts w:ascii="Tahoma" w:hAnsi="Tahoma" w:cs="Tahoma"/>
      <w:sz w:val="16"/>
      <w:szCs w:val="16"/>
    </w:rPr>
  </w:style>
  <w:style w:type="character" w:customStyle="1" w:styleId="BalloonTextChar">
    <w:name w:val="Balloon Text Char"/>
    <w:basedOn w:val="DefaultParagraphFont"/>
    <w:uiPriority w:val="99"/>
    <w:rsid w:val="00AB236E"/>
    <w:rPr>
      <w:rFonts w:ascii="Lucida Grande" w:hAnsi="Lucida Grande"/>
      <w:sz w:val="18"/>
      <w:szCs w:val="18"/>
    </w:rPr>
  </w:style>
  <w:style w:type="character" w:customStyle="1" w:styleId="BalloonTextChar1">
    <w:name w:val="Balloon Text Char1"/>
    <w:basedOn w:val="DefaultParagraphFont"/>
    <w:link w:val="BalloonText"/>
    <w:uiPriority w:val="99"/>
    <w:rsid w:val="00FB3165"/>
    <w:rPr>
      <w:rFonts w:ascii="Tahoma" w:hAnsi="Tahoma" w:cs="Tahoma"/>
      <w:sz w:val="16"/>
      <w:szCs w:val="16"/>
    </w:rPr>
  </w:style>
  <w:style w:type="paragraph" w:styleId="PlainText">
    <w:name w:val="Plain Text"/>
    <w:basedOn w:val="Normal"/>
    <w:link w:val="PlainTextChar"/>
    <w:uiPriority w:val="99"/>
    <w:rsid w:val="00FB3165"/>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B3165"/>
    <w:rPr>
      <w:rFonts w:ascii="Courier New" w:eastAsia="Times New Roman" w:hAnsi="Courier New" w:cs="Times New Roman"/>
      <w:sz w:val="20"/>
      <w:szCs w:val="20"/>
    </w:rPr>
  </w:style>
  <w:style w:type="character" w:customStyle="1" w:styleId="Heading1Char">
    <w:name w:val="Heading 1 Char"/>
    <w:basedOn w:val="DefaultParagraphFont"/>
    <w:link w:val="Heading1"/>
    <w:rsid w:val="00100CA1"/>
    <w:rPr>
      <w:rFonts w:ascii="Times New Roman" w:eastAsia="Times New Roman" w:hAnsi="Times New Roman" w:cs="Arial"/>
      <w:b/>
      <w:bCs/>
      <w:kern w:val="32"/>
      <w:sz w:val="24"/>
      <w:szCs w:val="32"/>
    </w:rPr>
  </w:style>
  <w:style w:type="character" w:customStyle="1" w:styleId="Heading2Char">
    <w:name w:val="Heading 2 Char"/>
    <w:basedOn w:val="DefaultParagraphFont"/>
    <w:link w:val="Heading2"/>
    <w:uiPriority w:val="9"/>
    <w:rsid w:val="008F6EE2"/>
    <w:rPr>
      <w:rFonts w:ascii="Arial" w:eastAsia="Times New Roman" w:hAnsi="Arial" w:cs="Arial"/>
      <w:b/>
      <w:bCs/>
      <w:i/>
      <w:iCs/>
      <w:sz w:val="28"/>
      <w:szCs w:val="28"/>
    </w:rPr>
  </w:style>
  <w:style w:type="character" w:customStyle="1" w:styleId="Heading3Char">
    <w:name w:val="Heading 3 Char"/>
    <w:basedOn w:val="DefaultParagraphFont"/>
    <w:link w:val="Heading3"/>
    <w:rsid w:val="008F6EE2"/>
    <w:rPr>
      <w:rFonts w:ascii="Arial" w:eastAsia="Times New Roman" w:hAnsi="Arial" w:cs="Arial"/>
      <w:b/>
      <w:bCs/>
      <w:sz w:val="24"/>
      <w:szCs w:val="26"/>
    </w:rPr>
  </w:style>
  <w:style w:type="character" w:customStyle="1" w:styleId="Heading4Char">
    <w:name w:val="Heading 4 Char"/>
    <w:aliases w:val="Heading 4 Char Char Char"/>
    <w:basedOn w:val="DefaultParagraphFont"/>
    <w:link w:val="Heading4"/>
    <w:rsid w:val="008F6EE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F6EE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8F6EE2"/>
    <w:rPr>
      <w:rFonts w:ascii="Times New Roman" w:eastAsia="Times New Roman" w:hAnsi="Times New Roman" w:cs="Times New Roman"/>
      <w:b/>
      <w:bCs/>
      <w:sz w:val="24"/>
    </w:rPr>
  </w:style>
  <w:style w:type="character" w:customStyle="1" w:styleId="Heading7Char">
    <w:name w:val="Heading 7 Char"/>
    <w:basedOn w:val="DefaultParagraphFont"/>
    <w:link w:val="Heading7"/>
    <w:rsid w:val="008F6EE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F6EE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8F6EE2"/>
    <w:rPr>
      <w:rFonts w:ascii="Arial" w:eastAsia="Times New Roman" w:hAnsi="Arial" w:cs="Arial"/>
      <w:sz w:val="24"/>
    </w:rPr>
  </w:style>
  <w:style w:type="paragraph" w:customStyle="1" w:styleId="StyleHeading2TimesNewRoman12ptNotItalic">
    <w:name w:val="Style Heading 2 + Times New Roman 12 pt Not Italic"/>
    <w:basedOn w:val="Heading2"/>
    <w:rsid w:val="008F6EE2"/>
    <w:pPr>
      <w:ind w:left="576"/>
    </w:pPr>
    <w:rPr>
      <w:rFonts w:ascii="Times New Roman" w:hAnsi="Times New Roman"/>
      <w:i w:val="0"/>
      <w:iCs w:val="0"/>
      <w:sz w:val="24"/>
    </w:rPr>
  </w:style>
  <w:style w:type="paragraph" w:customStyle="1" w:styleId="Level5">
    <w:name w:val="Level 5"/>
    <w:basedOn w:val="Normal"/>
    <w:rsid w:val="00A602EA"/>
    <w:pPr>
      <w:widowControl w:val="0"/>
      <w:numPr>
        <w:ilvl w:val="4"/>
        <w:numId w:val="2"/>
      </w:numPr>
      <w:autoSpaceDE w:val="0"/>
      <w:autoSpaceDN w:val="0"/>
      <w:adjustRightInd w:val="0"/>
      <w:outlineLvl w:val="4"/>
    </w:pPr>
    <w:rPr>
      <w:rFonts w:eastAsia="Times New Roman" w:cs="Times New Roman"/>
      <w:sz w:val="20"/>
      <w:szCs w:val="24"/>
    </w:rPr>
  </w:style>
  <w:style w:type="paragraph" w:customStyle="1" w:styleId="Level6">
    <w:name w:val="Level 6"/>
    <w:basedOn w:val="Normal"/>
    <w:rsid w:val="00A602EA"/>
    <w:pPr>
      <w:widowControl w:val="0"/>
      <w:numPr>
        <w:ilvl w:val="5"/>
        <w:numId w:val="2"/>
      </w:numPr>
      <w:autoSpaceDE w:val="0"/>
      <w:autoSpaceDN w:val="0"/>
      <w:adjustRightInd w:val="0"/>
      <w:outlineLvl w:val="5"/>
    </w:pPr>
    <w:rPr>
      <w:rFonts w:eastAsia="Times New Roman" w:cs="Times New Roman"/>
      <w:sz w:val="20"/>
      <w:szCs w:val="24"/>
    </w:rPr>
  </w:style>
  <w:style w:type="paragraph" w:styleId="Header">
    <w:name w:val="header"/>
    <w:basedOn w:val="Normal"/>
    <w:link w:val="HeaderChar"/>
    <w:uiPriority w:val="99"/>
    <w:unhideWhenUsed/>
    <w:rsid w:val="00345308"/>
    <w:pPr>
      <w:tabs>
        <w:tab w:val="center" w:pos="4680"/>
        <w:tab w:val="right" w:pos="9360"/>
      </w:tabs>
    </w:pPr>
  </w:style>
  <w:style w:type="character" w:customStyle="1" w:styleId="HeaderChar">
    <w:name w:val="Header Char"/>
    <w:basedOn w:val="DefaultParagraphFont"/>
    <w:link w:val="Header"/>
    <w:uiPriority w:val="99"/>
    <w:rsid w:val="00345308"/>
  </w:style>
  <w:style w:type="paragraph" w:styleId="Footer">
    <w:name w:val="footer"/>
    <w:basedOn w:val="Normal"/>
    <w:link w:val="FooterChar"/>
    <w:uiPriority w:val="99"/>
    <w:unhideWhenUsed/>
    <w:rsid w:val="00345308"/>
    <w:pPr>
      <w:tabs>
        <w:tab w:val="center" w:pos="4680"/>
        <w:tab w:val="right" w:pos="9360"/>
      </w:tabs>
    </w:pPr>
  </w:style>
  <w:style w:type="character" w:customStyle="1" w:styleId="FooterChar">
    <w:name w:val="Footer Char"/>
    <w:basedOn w:val="DefaultParagraphFont"/>
    <w:link w:val="Footer"/>
    <w:uiPriority w:val="99"/>
    <w:rsid w:val="00345308"/>
  </w:style>
  <w:style w:type="paragraph" w:styleId="ListParagraph">
    <w:name w:val="List Paragraph"/>
    <w:basedOn w:val="Normal"/>
    <w:uiPriority w:val="34"/>
    <w:qFormat/>
    <w:rsid w:val="00D8321D"/>
    <w:pPr>
      <w:ind w:left="720"/>
      <w:contextualSpacing/>
    </w:pPr>
  </w:style>
  <w:style w:type="paragraph" w:styleId="DocumentMap">
    <w:name w:val="Document Map"/>
    <w:basedOn w:val="Normal"/>
    <w:link w:val="DocumentMapChar"/>
    <w:uiPriority w:val="99"/>
    <w:unhideWhenUsed/>
    <w:rsid w:val="00AF21F9"/>
    <w:rPr>
      <w:rFonts w:ascii="Lucida Grande" w:hAnsi="Lucida Grande"/>
      <w:szCs w:val="24"/>
    </w:rPr>
  </w:style>
  <w:style w:type="character" w:customStyle="1" w:styleId="DocumentMapChar">
    <w:name w:val="Document Map Char"/>
    <w:basedOn w:val="DefaultParagraphFont"/>
    <w:link w:val="DocumentMap"/>
    <w:uiPriority w:val="99"/>
    <w:rsid w:val="00AF21F9"/>
    <w:rPr>
      <w:rFonts w:ascii="Lucida Grande" w:hAnsi="Lucida Grande"/>
      <w:sz w:val="24"/>
      <w:szCs w:val="24"/>
    </w:rPr>
  </w:style>
  <w:style w:type="character" w:styleId="PageNumber">
    <w:name w:val="page number"/>
    <w:basedOn w:val="DefaultParagraphFont"/>
    <w:unhideWhenUsed/>
    <w:rsid w:val="003B7D16"/>
  </w:style>
  <w:style w:type="character" w:styleId="CommentReference">
    <w:name w:val="annotation reference"/>
    <w:basedOn w:val="DefaultParagraphFont"/>
    <w:uiPriority w:val="99"/>
    <w:unhideWhenUsed/>
    <w:rsid w:val="00302F17"/>
    <w:rPr>
      <w:sz w:val="16"/>
      <w:szCs w:val="16"/>
    </w:rPr>
  </w:style>
  <w:style w:type="paragraph" w:styleId="CommentText">
    <w:name w:val="annotation text"/>
    <w:basedOn w:val="Normal"/>
    <w:link w:val="CommentTextChar"/>
    <w:uiPriority w:val="99"/>
    <w:unhideWhenUsed/>
    <w:rsid w:val="00302F17"/>
    <w:rPr>
      <w:sz w:val="20"/>
      <w:szCs w:val="20"/>
    </w:rPr>
  </w:style>
  <w:style w:type="character" w:customStyle="1" w:styleId="CommentTextChar">
    <w:name w:val="Comment Text Char"/>
    <w:basedOn w:val="DefaultParagraphFont"/>
    <w:link w:val="CommentText"/>
    <w:uiPriority w:val="99"/>
    <w:rsid w:val="00302F17"/>
    <w:rPr>
      <w:sz w:val="20"/>
      <w:szCs w:val="20"/>
    </w:rPr>
  </w:style>
  <w:style w:type="paragraph" w:styleId="CommentSubject">
    <w:name w:val="annotation subject"/>
    <w:basedOn w:val="CommentText"/>
    <w:next w:val="CommentText"/>
    <w:link w:val="CommentSubjectChar"/>
    <w:uiPriority w:val="99"/>
    <w:unhideWhenUsed/>
    <w:rsid w:val="00302F17"/>
    <w:rPr>
      <w:b/>
      <w:bCs/>
    </w:rPr>
  </w:style>
  <w:style w:type="character" w:customStyle="1" w:styleId="CommentSubjectChar">
    <w:name w:val="Comment Subject Char"/>
    <w:basedOn w:val="CommentTextChar"/>
    <w:link w:val="CommentSubject"/>
    <w:uiPriority w:val="99"/>
    <w:rsid w:val="00302F17"/>
    <w:rPr>
      <w:b/>
      <w:bCs/>
      <w:sz w:val="20"/>
      <w:szCs w:val="20"/>
    </w:rPr>
  </w:style>
  <w:style w:type="paragraph" w:customStyle="1" w:styleId="Tabletitle">
    <w:name w:val="Table title"/>
    <w:basedOn w:val="Normal"/>
    <w:link w:val="TabletitleChar3"/>
    <w:qFormat/>
    <w:rsid w:val="00F507A2"/>
    <w:rPr>
      <w:rFonts w:eastAsia="Times New Roman" w:cs="Times New Roman"/>
      <w:b/>
      <w:bCs/>
      <w:szCs w:val="24"/>
    </w:rPr>
  </w:style>
  <w:style w:type="character" w:customStyle="1" w:styleId="TabletitleChar3">
    <w:name w:val="Table title Char3"/>
    <w:basedOn w:val="DefaultParagraphFont"/>
    <w:link w:val="Tabletitle"/>
    <w:rsid w:val="00F507A2"/>
    <w:rPr>
      <w:rFonts w:ascii="Times New Roman" w:eastAsia="Times New Roman" w:hAnsi="Times New Roman" w:cs="Times New Roman"/>
      <w:b/>
      <w:bCs/>
      <w:sz w:val="24"/>
      <w:szCs w:val="24"/>
    </w:rPr>
  </w:style>
  <w:style w:type="paragraph" w:customStyle="1" w:styleId="Default">
    <w:name w:val="Default"/>
    <w:rsid w:val="00F507A2"/>
    <w:pPr>
      <w:autoSpaceDE w:val="0"/>
      <w:autoSpaceDN w:val="0"/>
      <w:adjustRightInd w:val="0"/>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F507A2"/>
    <w:pPr>
      <w:widowControl w:val="0"/>
    </w:pPr>
    <w:rPr>
      <w:rFonts w:ascii="Times New Roman" w:eastAsia="Times New Roman" w:hAnsi="Times New Roman" w:cs="Times New Roman"/>
      <w:sz w:val="20"/>
      <w:szCs w:val="20"/>
    </w:rPr>
  </w:style>
  <w:style w:type="character" w:customStyle="1" w:styleId="NoSpacingChar">
    <w:name w:val="No Spacing Char"/>
    <w:basedOn w:val="DefaultParagraphFont"/>
    <w:link w:val="NoSpacing"/>
    <w:uiPriority w:val="99"/>
    <w:locked/>
    <w:rsid w:val="00F507A2"/>
    <w:rPr>
      <w:rFonts w:ascii="Times New Roman" w:eastAsia="Times New Roman" w:hAnsi="Times New Roman" w:cs="Times New Roman"/>
      <w:sz w:val="20"/>
      <w:szCs w:val="20"/>
    </w:rPr>
  </w:style>
  <w:style w:type="character" w:customStyle="1" w:styleId="Heading4CharCharCharChar">
    <w:name w:val="Heading 4 Char Char Char Char"/>
    <w:rsid w:val="001C244F"/>
    <w:rPr>
      <w:rFonts w:ascii="Times New Roman" w:hAnsi="Times New Roman"/>
      <w:b/>
      <w:bCs/>
      <w:sz w:val="28"/>
      <w:szCs w:val="28"/>
      <w:lang w:val="en-US" w:eastAsia="en-US" w:bidi="ar-SA"/>
    </w:rPr>
  </w:style>
  <w:style w:type="paragraph" w:styleId="Caption">
    <w:name w:val="caption"/>
    <w:basedOn w:val="Normal"/>
    <w:next w:val="Normal"/>
    <w:uiPriority w:val="35"/>
    <w:qFormat/>
    <w:rsid w:val="005F0CB0"/>
    <w:pPr>
      <w:spacing w:before="120" w:after="120"/>
    </w:pPr>
    <w:rPr>
      <w:rFonts w:eastAsia="Times New Roman" w:cs="Times New Roman"/>
      <w:b/>
      <w:bCs/>
      <w:szCs w:val="20"/>
    </w:rPr>
  </w:style>
  <w:style w:type="character" w:styleId="Hyperlink">
    <w:name w:val="Hyperlink"/>
    <w:basedOn w:val="DefaultParagraphFont"/>
    <w:uiPriority w:val="99"/>
    <w:rsid w:val="007E3424"/>
    <w:rPr>
      <w:color w:val="0000FF"/>
      <w:u w:val="single"/>
    </w:rPr>
  </w:style>
  <w:style w:type="paragraph" w:styleId="BodyText">
    <w:name w:val="Body Text"/>
    <w:basedOn w:val="Normal"/>
    <w:link w:val="BodyTextChar"/>
    <w:rsid w:val="00102B4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pPr>
    <w:rPr>
      <w:rFonts w:eastAsia="Times New Roman" w:cs="Times New Roman"/>
      <w:szCs w:val="24"/>
    </w:rPr>
  </w:style>
  <w:style w:type="character" w:customStyle="1" w:styleId="BodyTextChar">
    <w:name w:val="Body Text Char"/>
    <w:basedOn w:val="DefaultParagraphFont"/>
    <w:link w:val="BodyText"/>
    <w:rsid w:val="00102B4E"/>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sid w:val="00B0277A"/>
    <w:rPr>
      <w:color w:val="800080" w:themeColor="followedHyperlink"/>
      <w:u w:val="single"/>
    </w:rPr>
  </w:style>
  <w:style w:type="character" w:styleId="Emphasis">
    <w:name w:val="Emphasis"/>
    <w:basedOn w:val="DefaultParagraphFont"/>
    <w:uiPriority w:val="20"/>
    <w:qFormat/>
    <w:rsid w:val="00663B31"/>
    <w:rPr>
      <w:i/>
      <w:iCs/>
    </w:rPr>
  </w:style>
  <w:style w:type="table" w:styleId="TableGrid">
    <w:name w:val="Table Grid"/>
    <w:basedOn w:val="TableNormal"/>
    <w:uiPriority w:val="59"/>
    <w:rsid w:val="00463E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463E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ase">
    <w:name w:val="base"/>
    <w:rsid w:val="004610EE"/>
    <w:rPr>
      <w:rFonts w:cs="Times New Roman"/>
    </w:rPr>
  </w:style>
  <w:style w:type="paragraph" w:customStyle="1" w:styleId="Figuretitle">
    <w:name w:val="Figure title"/>
    <w:basedOn w:val="Normal"/>
    <w:link w:val="FiguretitleChar1"/>
    <w:qFormat/>
    <w:rsid w:val="00135EA7"/>
    <w:rPr>
      <w:rFonts w:eastAsia="Times New Roman" w:cs="Times New Roman"/>
      <w:szCs w:val="24"/>
    </w:rPr>
  </w:style>
  <w:style w:type="character" w:customStyle="1" w:styleId="FiguretitleChar1">
    <w:name w:val="Figure title Char1"/>
    <w:link w:val="Figuretitle"/>
    <w:rsid w:val="00135EA7"/>
    <w:rPr>
      <w:rFonts w:ascii="Times New Roman" w:eastAsia="Times New Roman" w:hAnsi="Times New Roman" w:cs="Times New Roman"/>
      <w:sz w:val="24"/>
      <w:szCs w:val="24"/>
    </w:rPr>
  </w:style>
  <w:style w:type="paragraph" w:customStyle="1" w:styleId="MediumGrid21">
    <w:name w:val="Medium Grid 21"/>
    <w:uiPriority w:val="1"/>
    <w:qFormat/>
    <w:rsid w:val="00891F13"/>
    <w:rPr>
      <w:rFonts w:ascii="Calibri" w:eastAsia="Calibri" w:hAnsi="Calibri" w:cs="Times New Roman"/>
    </w:rPr>
  </w:style>
  <w:style w:type="character" w:customStyle="1" w:styleId="Heading4Char2">
    <w:name w:val="Heading 4 Char2"/>
    <w:aliases w:val="Heading 4 Char Char Char2"/>
    <w:rsid w:val="004A15FA"/>
    <w:rPr>
      <w:b/>
      <w:bCs/>
      <w:sz w:val="28"/>
      <w:szCs w:val="28"/>
    </w:rPr>
  </w:style>
  <w:style w:type="character" w:customStyle="1" w:styleId="TabletitleChar1">
    <w:name w:val="Table title Char1"/>
    <w:rsid w:val="004A15FA"/>
    <w:rPr>
      <w:bCs/>
      <w:sz w:val="24"/>
      <w:szCs w:val="24"/>
      <w:lang w:val="en-US" w:eastAsia="en-US" w:bidi="ar-SA"/>
    </w:rPr>
  </w:style>
  <w:style w:type="paragraph" w:styleId="BodyTextIndent">
    <w:name w:val="Body Text Indent"/>
    <w:basedOn w:val="Normal"/>
    <w:link w:val="BodyTextIndentChar"/>
    <w:rsid w:val="004A15FA"/>
    <w:pPr>
      <w:spacing w:after="120"/>
      <w:ind w:left="360"/>
    </w:pPr>
    <w:rPr>
      <w:rFonts w:eastAsia="Times New Roman" w:cs="Times New Roman"/>
      <w:szCs w:val="24"/>
    </w:rPr>
  </w:style>
  <w:style w:type="character" w:customStyle="1" w:styleId="BodyTextIndentChar">
    <w:name w:val="Body Text Indent Char"/>
    <w:basedOn w:val="DefaultParagraphFont"/>
    <w:link w:val="BodyTextIndent"/>
    <w:rsid w:val="004A15FA"/>
    <w:rPr>
      <w:rFonts w:ascii="Times New Roman" w:eastAsia="Times New Roman" w:hAnsi="Times New Roman" w:cs="Times New Roman"/>
      <w:sz w:val="24"/>
      <w:szCs w:val="24"/>
    </w:rPr>
  </w:style>
  <w:style w:type="paragraph" w:styleId="BodyTextIndent3">
    <w:name w:val="Body Text Indent 3"/>
    <w:basedOn w:val="Normal"/>
    <w:link w:val="BodyTextIndent3Char"/>
    <w:rsid w:val="004A15FA"/>
    <w:pPr>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4A15FA"/>
    <w:rPr>
      <w:rFonts w:ascii="Times New Roman" w:eastAsia="Times New Roman" w:hAnsi="Times New Roman" w:cs="Times New Roman"/>
      <w:sz w:val="16"/>
      <w:szCs w:val="16"/>
    </w:rPr>
  </w:style>
  <w:style w:type="paragraph" w:customStyle="1" w:styleId="CM3">
    <w:name w:val="CM3"/>
    <w:basedOn w:val="Normal"/>
    <w:next w:val="Normal"/>
    <w:rsid w:val="004A15FA"/>
    <w:pPr>
      <w:autoSpaceDE w:val="0"/>
      <w:autoSpaceDN w:val="0"/>
      <w:adjustRightInd w:val="0"/>
      <w:spacing w:line="271" w:lineRule="auto"/>
    </w:pPr>
    <w:rPr>
      <w:rFonts w:eastAsia="Times New Roman" w:cs="Times New Roman"/>
      <w:szCs w:val="24"/>
    </w:rPr>
  </w:style>
  <w:style w:type="character" w:styleId="Strong">
    <w:name w:val="Strong"/>
    <w:uiPriority w:val="22"/>
    <w:qFormat/>
    <w:rsid w:val="004A15FA"/>
    <w:rPr>
      <w:b/>
      <w:bCs/>
    </w:rPr>
  </w:style>
  <w:style w:type="character" w:customStyle="1" w:styleId="moz-txt-tag">
    <w:name w:val="moz-txt-tag"/>
    <w:basedOn w:val="DefaultParagraphFont"/>
    <w:rsid w:val="004A15FA"/>
  </w:style>
  <w:style w:type="paragraph" w:styleId="FootnoteText">
    <w:name w:val="footnote text"/>
    <w:basedOn w:val="Normal"/>
    <w:link w:val="FootnoteTextChar1"/>
    <w:uiPriority w:val="99"/>
    <w:rsid w:val="004A15FA"/>
    <w:rPr>
      <w:rFonts w:eastAsia="Times New Roman" w:cs="Times New Roman"/>
      <w:sz w:val="20"/>
      <w:szCs w:val="20"/>
    </w:rPr>
  </w:style>
  <w:style w:type="character" w:customStyle="1" w:styleId="FootnoteTextChar">
    <w:name w:val="Footnote Text Char"/>
    <w:basedOn w:val="DefaultParagraphFont"/>
    <w:uiPriority w:val="99"/>
    <w:rsid w:val="004A15FA"/>
    <w:rPr>
      <w:rFonts w:ascii="Times New Roman" w:hAnsi="Times New Roman"/>
      <w:sz w:val="24"/>
      <w:szCs w:val="24"/>
    </w:rPr>
  </w:style>
  <w:style w:type="character" w:customStyle="1" w:styleId="FootnoteTextChar1">
    <w:name w:val="Footnote Text Char1"/>
    <w:basedOn w:val="DefaultParagraphFont"/>
    <w:link w:val="FootnoteText"/>
    <w:locked/>
    <w:rsid w:val="004A15FA"/>
    <w:rPr>
      <w:rFonts w:ascii="Times New Roman" w:eastAsia="Times New Roman" w:hAnsi="Times New Roman" w:cs="Times New Roman"/>
      <w:sz w:val="20"/>
      <w:szCs w:val="20"/>
    </w:rPr>
  </w:style>
  <w:style w:type="paragraph" w:customStyle="1" w:styleId="Heading11">
    <w:name w:val="Heading 11"/>
    <w:rsid w:val="004A15FA"/>
    <w:rPr>
      <w:rFonts w:ascii="Courier" w:eastAsia="Times New Roman" w:hAnsi="Courier" w:cs="Times New Roman"/>
      <w:b/>
      <w:sz w:val="24"/>
      <w:szCs w:val="24"/>
      <w:u w:val="single"/>
    </w:rPr>
  </w:style>
  <w:style w:type="character" w:customStyle="1" w:styleId="TabletitleChar">
    <w:name w:val="Table title Char"/>
    <w:rsid w:val="004A15FA"/>
    <w:rPr>
      <w:bCs/>
      <w:sz w:val="24"/>
      <w:szCs w:val="24"/>
      <w:lang w:val="en-US" w:eastAsia="en-US" w:bidi="ar-SA"/>
    </w:rPr>
  </w:style>
  <w:style w:type="paragraph" w:customStyle="1" w:styleId="Heading5best">
    <w:name w:val="Heading 5 best"/>
    <w:basedOn w:val="Heading4"/>
    <w:rsid w:val="004A15FA"/>
    <w:pPr>
      <w:widowControl w:val="0"/>
      <w:numPr>
        <w:ilvl w:val="0"/>
        <w:numId w:val="0"/>
      </w:numPr>
      <w:tabs>
        <w:tab w:val="num" w:pos="1440"/>
      </w:tabs>
      <w:autoSpaceDE w:val="0"/>
      <w:autoSpaceDN w:val="0"/>
      <w:adjustRightInd w:val="0"/>
      <w:ind w:left="1440" w:hanging="1440"/>
    </w:pPr>
    <w:rPr>
      <w:b w:val="0"/>
      <w:bCs w:val="0"/>
      <w:sz w:val="24"/>
    </w:rPr>
  </w:style>
  <w:style w:type="paragraph" w:customStyle="1" w:styleId="Level4">
    <w:name w:val="Level 4"/>
    <w:basedOn w:val="Normal"/>
    <w:rsid w:val="004A15FA"/>
    <w:pPr>
      <w:widowControl w:val="0"/>
      <w:autoSpaceDE w:val="0"/>
      <w:autoSpaceDN w:val="0"/>
      <w:adjustRightInd w:val="0"/>
      <w:outlineLvl w:val="3"/>
    </w:pPr>
    <w:rPr>
      <w:rFonts w:eastAsia="Times New Roman" w:cs="Times New Roman"/>
      <w:sz w:val="20"/>
      <w:szCs w:val="24"/>
    </w:rPr>
  </w:style>
  <w:style w:type="paragraph" w:customStyle="1" w:styleId="month">
    <w:name w:val="month"/>
    <w:basedOn w:val="Normal"/>
    <w:rsid w:val="004A15FA"/>
    <w:rPr>
      <w:rFonts w:ascii="Times" w:eastAsia="Times New Roman" w:hAnsi="Times" w:cs="Times New Roman"/>
      <w:b/>
      <w:szCs w:val="20"/>
    </w:rPr>
  </w:style>
  <w:style w:type="paragraph" w:customStyle="1" w:styleId="a">
    <w:name w:val="ö"/>
    <w:basedOn w:val="Normal"/>
    <w:rsid w:val="004A15FA"/>
    <w:pPr>
      <w:widowControl w:val="0"/>
      <w:tabs>
        <w:tab w:val="left" w:pos="720"/>
      </w:tabs>
      <w:autoSpaceDE w:val="0"/>
      <w:autoSpaceDN w:val="0"/>
      <w:adjustRightInd w:val="0"/>
      <w:ind w:left="720" w:hanging="720"/>
      <w:outlineLvl w:val="0"/>
    </w:pPr>
    <w:rPr>
      <w:rFonts w:eastAsia="Times New Roman" w:cs="Times New Roman"/>
      <w:szCs w:val="24"/>
    </w:rPr>
  </w:style>
  <w:style w:type="paragraph" w:customStyle="1" w:styleId="xl44">
    <w:name w:val="xl44"/>
    <w:basedOn w:val="Normal"/>
    <w:rsid w:val="004A15FA"/>
    <w:pPr>
      <w:pBdr>
        <w:left w:val="single" w:sz="8" w:space="0" w:color="auto"/>
        <w:right w:val="single" w:sz="8" w:space="0" w:color="auto"/>
      </w:pBdr>
      <w:spacing w:before="100" w:after="100"/>
      <w:textAlignment w:val="top"/>
    </w:pPr>
    <w:rPr>
      <w:rFonts w:ascii="Arial" w:eastAsia="Arial Unicode MS" w:hAnsi="Arial" w:cs="Times New Roman"/>
      <w:sz w:val="16"/>
      <w:szCs w:val="24"/>
    </w:rPr>
  </w:style>
  <w:style w:type="character" w:customStyle="1" w:styleId="EmailStyle481">
    <w:name w:val="EmailStyle481"/>
    <w:semiHidden/>
    <w:rsid w:val="004A15FA"/>
    <w:rPr>
      <w:rFonts w:ascii="Arial" w:hAnsi="Arial" w:cs="Arial" w:hint="default"/>
      <w:color w:val="auto"/>
      <w:sz w:val="20"/>
      <w:szCs w:val="20"/>
    </w:rPr>
  </w:style>
  <w:style w:type="paragraph" w:styleId="BodyTextIndent2">
    <w:name w:val="Body Text Indent 2"/>
    <w:basedOn w:val="Normal"/>
    <w:link w:val="BodyTextIndent2Char"/>
    <w:rsid w:val="004A15FA"/>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rsid w:val="004A15FA"/>
    <w:rPr>
      <w:rFonts w:ascii="Times New Roman" w:eastAsia="Times New Roman" w:hAnsi="Times New Roman" w:cs="Times New Roman"/>
      <w:sz w:val="24"/>
      <w:szCs w:val="24"/>
    </w:rPr>
  </w:style>
  <w:style w:type="paragraph" w:styleId="Subtitle">
    <w:name w:val="Subtitle"/>
    <w:basedOn w:val="Normal"/>
    <w:link w:val="SubtitleChar"/>
    <w:qFormat/>
    <w:rsid w:val="004A15FA"/>
    <w:pPr>
      <w:ind w:left="1440" w:hanging="1440"/>
    </w:pPr>
    <w:rPr>
      <w:rFonts w:eastAsia="Times New Roman" w:cs="Times New Roman"/>
      <w:b/>
      <w:bCs/>
      <w:szCs w:val="24"/>
      <w:u w:val="single"/>
    </w:rPr>
  </w:style>
  <w:style w:type="character" w:customStyle="1" w:styleId="SubtitleChar">
    <w:name w:val="Subtitle Char"/>
    <w:basedOn w:val="DefaultParagraphFont"/>
    <w:link w:val="Subtitle"/>
    <w:rsid w:val="004A15FA"/>
    <w:rPr>
      <w:rFonts w:ascii="Times New Roman" w:eastAsia="Times New Roman" w:hAnsi="Times New Roman" w:cs="Times New Roman"/>
      <w:b/>
      <w:bCs/>
      <w:sz w:val="24"/>
      <w:szCs w:val="24"/>
      <w:u w:val="single"/>
    </w:rPr>
  </w:style>
  <w:style w:type="paragraph" w:customStyle="1" w:styleId="xl30">
    <w:name w:val="xl30"/>
    <w:basedOn w:val="Normal"/>
    <w:rsid w:val="004A15FA"/>
    <w:pPr>
      <w:pBdr>
        <w:left w:val="single" w:sz="4" w:space="0" w:color="auto"/>
        <w:bottom w:val="single" w:sz="4" w:space="0" w:color="auto"/>
        <w:right w:val="single" w:sz="4" w:space="0" w:color="auto"/>
      </w:pBdr>
      <w:spacing w:before="100" w:after="100"/>
      <w:jc w:val="center"/>
    </w:pPr>
    <w:rPr>
      <w:rFonts w:ascii="Arial" w:eastAsia="Arial Unicode MS" w:hAnsi="Arial" w:cs="Times New Roman"/>
      <w:sz w:val="16"/>
      <w:szCs w:val="24"/>
    </w:rPr>
  </w:style>
  <w:style w:type="character" w:customStyle="1" w:styleId="title11">
    <w:name w:val="title11"/>
    <w:rsid w:val="004A15FA"/>
    <w:rPr>
      <w:rFonts w:ascii="Arial" w:hAnsi="Arial" w:cs="Arial" w:hint="default"/>
      <w:b/>
      <w:bCs/>
      <w:color w:val="993333"/>
      <w:sz w:val="36"/>
      <w:szCs w:val="36"/>
    </w:rPr>
  </w:style>
  <w:style w:type="paragraph" w:styleId="NormalWeb">
    <w:name w:val="Normal (Web)"/>
    <w:basedOn w:val="Normal"/>
    <w:uiPriority w:val="99"/>
    <w:rsid w:val="004A15FA"/>
    <w:pPr>
      <w:spacing w:before="100" w:beforeAutospacing="1" w:after="100" w:afterAutospacing="1"/>
    </w:pPr>
    <w:rPr>
      <w:rFonts w:eastAsia="Times New Roman" w:cs="Times New Roman"/>
      <w:szCs w:val="24"/>
    </w:rPr>
  </w:style>
  <w:style w:type="paragraph" w:styleId="ListBullet">
    <w:name w:val="List Bullet"/>
    <w:basedOn w:val="Normal"/>
    <w:autoRedefine/>
    <w:rsid w:val="004A15FA"/>
    <w:pPr>
      <w:outlineLvl w:val="0"/>
    </w:pPr>
    <w:rPr>
      <w:rFonts w:ascii="Arial" w:eastAsia="Times New Roman" w:hAnsi="Arial" w:cs="Arial"/>
      <w:sz w:val="20"/>
      <w:szCs w:val="20"/>
    </w:rPr>
  </w:style>
  <w:style w:type="paragraph" w:styleId="List">
    <w:name w:val="List"/>
    <w:basedOn w:val="Normal"/>
    <w:rsid w:val="004A15FA"/>
    <w:pPr>
      <w:ind w:left="360" w:hanging="360"/>
    </w:pPr>
    <w:rPr>
      <w:rFonts w:eastAsia="Times New Roman" w:cs="Times New Roman"/>
      <w:szCs w:val="24"/>
    </w:rPr>
  </w:style>
  <w:style w:type="character" w:styleId="LineNumber">
    <w:name w:val="line number"/>
    <w:basedOn w:val="DefaultParagraphFont"/>
    <w:rsid w:val="004A15FA"/>
  </w:style>
  <w:style w:type="paragraph" w:styleId="BodyText3">
    <w:name w:val="Body Text 3"/>
    <w:basedOn w:val="Normal"/>
    <w:link w:val="BodyText3Char"/>
    <w:rsid w:val="004A15FA"/>
    <w:pPr>
      <w:spacing w:after="120"/>
    </w:pPr>
    <w:rPr>
      <w:rFonts w:eastAsia="Times New Roman" w:cs="Times New Roman"/>
      <w:sz w:val="16"/>
      <w:szCs w:val="16"/>
    </w:rPr>
  </w:style>
  <w:style w:type="character" w:customStyle="1" w:styleId="BodyText3Char">
    <w:name w:val="Body Text 3 Char"/>
    <w:basedOn w:val="DefaultParagraphFont"/>
    <w:link w:val="BodyText3"/>
    <w:rsid w:val="004A15FA"/>
    <w:rPr>
      <w:rFonts w:ascii="Times New Roman" w:eastAsia="Times New Roman" w:hAnsi="Times New Roman" w:cs="Times New Roman"/>
      <w:sz w:val="16"/>
      <w:szCs w:val="16"/>
    </w:rPr>
  </w:style>
  <w:style w:type="paragraph" w:customStyle="1" w:styleId="BodyText2">
    <w:name w:val="Body Text 2*"/>
    <w:basedOn w:val="Normal"/>
    <w:rsid w:val="004A15FA"/>
    <w:pPr>
      <w:ind w:left="360" w:hanging="360"/>
    </w:pPr>
    <w:rPr>
      <w:rFonts w:eastAsia="Times New Roman" w:cs="Times New Roman"/>
      <w:szCs w:val="20"/>
      <w:lang w:val="en-GB"/>
    </w:rPr>
  </w:style>
  <w:style w:type="paragraph" w:customStyle="1" w:styleId="Level8">
    <w:name w:val="Level 8"/>
    <w:rsid w:val="004A15FA"/>
    <w:pPr>
      <w:autoSpaceDE w:val="0"/>
      <w:autoSpaceDN w:val="0"/>
      <w:adjustRightInd w:val="0"/>
      <w:ind w:left="-1440"/>
    </w:pPr>
    <w:rPr>
      <w:rFonts w:ascii="Times New Roman" w:eastAsia="Times New Roman" w:hAnsi="Times New Roman" w:cs="Times New Roman"/>
      <w:sz w:val="24"/>
      <w:szCs w:val="24"/>
    </w:rPr>
  </w:style>
  <w:style w:type="paragraph" w:customStyle="1" w:styleId="Legal1">
    <w:name w:val="Legal 1"/>
    <w:basedOn w:val="Normal"/>
    <w:rsid w:val="004A15FA"/>
    <w:pPr>
      <w:widowControl w:val="0"/>
      <w:tabs>
        <w:tab w:val="num" w:pos="720"/>
      </w:tabs>
      <w:autoSpaceDE w:val="0"/>
      <w:autoSpaceDN w:val="0"/>
      <w:adjustRightInd w:val="0"/>
      <w:ind w:left="360" w:hanging="360"/>
      <w:outlineLvl w:val="0"/>
    </w:pPr>
    <w:rPr>
      <w:rFonts w:eastAsia="Times New Roman" w:cs="Times New Roman"/>
      <w:szCs w:val="24"/>
    </w:rPr>
  </w:style>
  <w:style w:type="paragraph" w:customStyle="1" w:styleId="Legal4">
    <w:name w:val="Legal 4"/>
    <w:basedOn w:val="Normal"/>
    <w:rsid w:val="004A15FA"/>
    <w:pPr>
      <w:widowControl w:val="0"/>
      <w:autoSpaceDE w:val="0"/>
      <w:autoSpaceDN w:val="0"/>
      <w:adjustRightInd w:val="0"/>
      <w:ind w:left="1800" w:hanging="360"/>
      <w:outlineLvl w:val="3"/>
    </w:pPr>
    <w:rPr>
      <w:rFonts w:eastAsia="Times New Roman" w:cs="Times New Roman"/>
      <w:szCs w:val="24"/>
    </w:rPr>
  </w:style>
  <w:style w:type="paragraph" w:customStyle="1" w:styleId="Legal6">
    <w:name w:val="Legal 6"/>
    <w:basedOn w:val="Normal"/>
    <w:rsid w:val="004A15FA"/>
    <w:pPr>
      <w:widowControl w:val="0"/>
      <w:autoSpaceDE w:val="0"/>
      <w:autoSpaceDN w:val="0"/>
      <w:adjustRightInd w:val="0"/>
      <w:ind w:left="3960" w:hanging="720"/>
      <w:outlineLvl w:val="5"/>
    </w:pPr>
    <w:rPr>
      <w:rFonts w:eastAsia="Times New Roman" w:cs="Times New Roman"/>
      <w:szCs w:val="24"/>
    </w:rPr>
  </w:style>
  <w:style w:type="paragraph" w:styleId="TOC1">
    <w:name w:val="toc 1"/>
    <w:basedOn w:val="Normal"/>
    <w:next w:val="Normal"/>
    <w:autoRedefine/>
    <w:uiPriority w:val="39"/>
    <w:rsid w:val="004A15FA"/>
    <w:pPr>
      <w:tabs>
        <w:tab w:val="right" w:leader="dot" w:pos="8630"/>
      </w:tabs>
      <w:ind w:left="360" w:hanging="360"/>
    </w:pPr>
    <w:rPr>
      <w:rFonts w:eastAsia="Times New Roman" w:cs="Times New Roman"/>
      <w:noProof/>
      <w:szCs w:val="24"/>
    </w:rPr>
  </w:style>
  <w:style w:type="paragraph" w:styleId="TOC2">
    <w:name w:val="toc 2"/>
    <w:aliases w:val="TOC 2a"/>
    <w:basedOn w:val="Normal"/>
    <w:next w:val="Normal"/>
    <w:autoRedefine/>
    <w:uiPriority w:val="39"/>
    <w:rsid w:val="004A15FA"/>
    <w:pPr>
      <w:tabs>
        <w:tab w:val="left" w:pos="1260"/>
        <w:tab w:val="left" w:pos="1980"/>
        <w:tab w:val="right" w:leader="dot" w:pos="8630"/>
      </w:tabs>
      <w:ind w:left="540"/>
    </w:pPr>
    <w:rPr>
      <w:rFonts w:eastAsia="Times New Roman" w:cs="Times New Roman"/>
      <w:szCs w:val="24"/>
    </w:rPr>
  </w:style>
  <w:style w:type="paragraph" w:styleId="TOC3">
    <w:name w:val="toc 3"/>
    <w:basedOn w:val="Normal"/>
    <w:next w:val="Normal"/>
    <w:autoRedefine/>
    <w:uiPriority w:val="39"/>
    <w:rsid w:val="004A15FA"/>
    <w:pPr>
      <w:tabs>
        <w:tab w:val="left" w:pos="1260"/>
        <w:tab w:val="left" w:pos="1980"/>
        <w:tab w:val="right" w:leader="dot" w:pos="8630"/>
      </w:tabs>
      <w:ind w:left="480" w:hanging="480"/>
    </w:pPr>
    <w:rPr>
      <w:rFonts w:eastAsia="Times New Roman" w:cs="Times New Roman"/>
      <w:szCs w:val="24"/>
    </w:rPr>
  </w:style>
  <w:style w:type="paragraph" w:styleId="TOC4">
    <w:name w:val="toc 4"/>
    <w:basedOn w:val="Normal"/>
    <w:next w:val="Normal"/>
    <w:autoRedefine/>
    <w:uiPriority w:val="39"/>
    <w:rsid w:val="004A15FA"/>
    <w:pPr>
      <w:tabs>
        <w:tab w:val="left" w:pos="1260"/>
        <w:tab w:val="left" w:pos="1980"/>
        <w:tab w:val="left" w:pos="2700"/>
        <w:tab w:val="right" w:leader="dot" w:pos="8630"/>
      </w:tabs>
      <w:ind w:left="2700" w:hanging="2250"/>
    </w:pPr>
    <w:rPr>
      <w:rFonts w:eastAsia="Times New Roman" w:cs="Times New Roman"/>
      <w:noProof/>
      <w:szCs w:val="24"/>
    </w:rPr>
  </w:style>
  <w:style w:type="paragraph" w:styleId="TOC5">
    <w:name w:val="toc 5"/>
    <w:basedOn w:val="Normal"/>
    <w:next w:val="Normal"/>
    <w:autoRedefine/>
    <w:uiPriority w:val="39"/>
    <w:rsid w:val="004A15FA"/>
    <w:pPr>
      <w:ind w:left="960"/>
    </w:pPr>
    <w:rPr>
      <w:rFonts w:eastAsia="Times New Roman" w:cs="Times New Roman"/>
      <w:szCs w:val="24"/>
    </w:rPr>
  </w:style>
  <w:style w:type="paragraph" w:customStyle="1" w:styleId="xl24">
    <w:name w:val="xl24"/>
    <w:basedOn w:val="Normal"/>
    <w:rsid w:val="004A15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5">
    <w:name w:val="xl25"/>
    <w:basedOn w:val="Normal"/>
    <w:rsid w:val="004A15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26">
    <w:name w:val="xl26"/>
    <w:basedOn w:val="Normal"/>
    <w:rsid w:val="004A15FA"/>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27">
    <w:name w:val="xl27"/>
    <w:basedOn w:val="Normal"/>
    <w:rsid w:val="004A15FA"/>
    <w:pPr>
      <w:pBdr>
        <w:bottom w:val="single" w:sz="4" w:space="0" w:color="auto"/>
        <w:right w:val="single" w:sz="4" w:space="0" w:color="auto"/>
      </w:pBdr>
      <w:spacing w:before="100" w:beforeAutospacing="1" w:after="100" w:afterAutospacing="1"/>
      <w:jc w:val="center"/>
    </w:pPr>
    <w:rPr>
      <w:rFonts w:eastAsia="Arial Unicode MS" w:cs="Times New Roman"/>
      <w:szCs w:val="24"/>
    </w:rPr>
  </w:style>
  <w:style w:type="paragraph" w:customStyle="1" w:styleId="xl28">
    <w:name w:val="xl28"/>
    <w:basedOn w:val="Normal"/>
    <w:rsid w:val="004A15FA"/>
    <w:pPr>
      <w:pBdr>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29">
    <w:name w:val="xl29"/>
    <w:basedOn w:val="Normal"/>
    <w:rsid w:val="004A15FA"/>
    <w:pPr>
      <w:pBdr>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31">
    <w:name w:val="xl31"/>
    <w:basedOn w:val="Normal"/>
    <w:rsid w:val="004A15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2">
    <w:name w:val="xl32"/>
    <w:basedOn w:val="Normal"/>
    <w:rsid w:val="004A15FA"/>
    <w:pPr>
      <w:pBdr>
        <w:top w:val="single" w:sz="4" w:space="0" w:color="auto"/>
        <w:left w:val="single" w:sz="4" w:space="0" w:color="auto"/>
        <w:right w:val="single" w:sz="4" w:space="0" w:color="auto"/>
      </w:pBdr>
      <w:spacing w:before="100" w:beforeAutospacing="1" w:after="100" w:afterAutospacing="1"/>
    </w:pPr>
    <w:rPr>
      <w:rFonts w:eastAsia="Arial Unicode MS" w:cs="Times New Roman"/>
      <w:szCs w:val="24"/>
    </w:rPr>
  </w:style>
  <w:style w:type="paragraph" w:customStyle="1" w:styleId="xl33">
    <w:name w:val="xl33"/>
    <w:basedOn w:val="Normal"/>
    <w:rsid w:val="004A15FA"/>
    <w:pPr>
      <w:pBdr>
        <w:left w:val="single" w:sz="4" w:space="0" w:color="auto"/>
        <w:right w:val="single" w:sz="4" w:space="0" w:color="auto"/>
      </w:pBdr>
      <w:spacing w:before="100" w:beforeAutospacing="1" w:after="100" w:afterAutospacing="1"/>
    </w:pPr>
    <w:rPr>
      <w:rFonts w:eastAsia="Arial Unicode MS" w:cs="Times New Roman"/>
      <w:szCs w:val="24"/>
    </w:rPr>
  </w:style>
  <w:style w:type="paragraph" w:customStyle="1" w:styleId="xl34">
    <w:name w:val="xl34"/>
    <w:basedOn w:val="Normal"/>
    <w:rsid w:val="004A15FA"/>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35">
    <w:name w:val="xl35"/>
    <w:basedOn w:val="Normal"/>
    <w:rsid w:val="004A15FA"/>
    <w:pPr>
      <w:pBdr>
        <w:top w:val="single" w:sz="4" w:space="0" w:color="auto"/>
        <w:bottom w:val="single" w:sz="4" w:space="0" w:color="auto"/>
        <w:right w:val="single" w:sz="4" w:space="0" w:color="000000"/>
      </w:pBdr>
      <w:shd w:val="clear" w:color="auto" w:fill="C0C0C0"/>
      <w:spacing w:before="100" w:beforeAutospacing="1" w:after="100" w:afterAutospacing="1"/>
      <w:jc w:val="center"/>
    </w:pPr>
    <w:rPr>
      <w:rFonts w:eastAsia="Arial Unicode MS" w:cs="Times New Roman"/>
      <w:b/>
      <w:bCs/>
      <w:szCs w:val="24"/>
    </w:rPr>
  </w:style>
  <w:style w:type="paragraph" w:customStyle="1" w:styleId="xl36">
    <w:name w:val="xl36"/>
    <w:basedOn w:val="Normal"/>
    <w:rsid w:val="004A15FA"/>
    <w:pPr>
      <w:pBdr>
        <w:top w:val="single" w:sz="4" w:space="0" w:color="auto"/>
        <w:left w:val="single" w:sz="4" w:space="0" w:color="000000"/>
        <w:bottom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37">
    <w:name w:val="xl37"/>
    <w:basedOn w:val="Normal"/>
    <w:rsid w:val="004A15FA"/>
    <w:pPr>
      <w:pBdr>
        <w:bottom w:val="single" w:sz="4" w:space="0" w:color="auto"/>
        <w:right w:val="single" w:sz="4" w:space="0" w:color="auto"/>
      </w:pBdr>
      <w:shd w:val="clear" w:color="auto" w:fill="FFFFFF"/>
      <w:spacing w:before="100" w:beforeAutospacing="1" w:after="100" w:afterAutospacing="1"/>
      <w:jc w:val="center"/>
    </w:pPr>
    <w:rPr>
      <w:rFonts w:eastAsia="Arial Unicode MS" w:cs="Times New Roman"/>
      <w:szCs w:val="24"/>
    </w:rPr>
  </w:style>
  <w:style w:type="paragraph" w:customStyle="1" w:styleId="xl38">
    <w:name w:val="xl38"/>
    <w:basedOn w:val="Normal"/>
    <w:rsid w:val="004A15FA"/>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customStyle="1" w:styleId="xl39">
    <w:name w:val="xl39"/>
    <w:basedOn w:val="Normal"/>
    <w:rsid w:val="004A15FA"/>
    <w:pPr>
      <w:pBdr>
        <w:left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character" w:styleId="EndnoteReference">
    <w:name w:val="endnote reference"/>
    <w:rsid w:val="004A15FA"/>
    <w:rPr>
      <w:vertAlign w:val="superscript"/>
    </w:rPr>
  </w:style>
  <w:style w:type="paragraph" w:customStyle="1" w:styleId="xl40">
    <w:name w:val="xl40"/>
    <w:basedOn w:val="Normal"/>
    <w:rsid w:val="004A15FA"/>
    <w:pPr>
      <w:pBdr>
        <w:bottom w:val="double" w:sz="6" w:space="0" w:color="auto"/>
        <w:right w:val="single" w:sz="4" w:space="0" w:color="auto"/>
      </w:pBdr>
      <w:shd w:val="clear" w:color="auto" w:fill="FFFFFF"/>
      <w:spacing w:before="100" w:beforeAutospacing="1" w:after="100" w:afterAutospacing="1"/>
      <w:jc w:val="center"/>
    </w:pPr>
    <w:rPr>
      <w:rFonts w:eastAsia="Arial Unicode MS" w:cs="Times New Roman"/>
      <w:szCs w:val="24"/>
    </w:rPr>
  </w:style>
  <w:style w:type="paragraph" w:customStyle="1" w:styleId="xl41">
    <w:name w:val="xl41"/>
    <w:basedOn w:val="Normal"/>
    <w:rsid w:val="004A15FA"/>
    <w:pPr>
      <w:pBdr>
        <w:right w:val="single" w:sz="4" w:space="0" w:color="auto"/>
      </w:pBdr>
      <w:shd w:val="clear" w:color="auto" w:fill="FFFFFF"/>
      <w:spacing w:before="100" w:beforeAutospacing="1" w:after="100" w:afterAutospacing="1"/>
      <w:jc w:val="center"/>
    </w:pPr>
    <w:rPr>
      <w:rFonts w:eastAsia="Arial Unicode MS" w:cs="Times New Roman"/>
      <w:szCs w:val="24"/>
    </w:rPr>
  </w:style>
  <w:style w:type="paragraph" w:customStyle="1" w:styleId="xl42">
    <w:name w:val="xl42"/>
    <w:basedOn w:val="Normal"/>
    <w:rsid w:val="004A15FA"/>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Cs w:val="24"/>
    </w:rPr>
  </w:style>
  <w:style w:type="paragraph" w:customStyle="1" w:styleId="xl43">
    <w:name w:val="xl43"/>
    <w:basedOn w:val="Normal"/>
    <w:rsid w:val="004A15FA"/>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szCs w:val="24"/>
    </w:rPr>
  </w:style>
  <w:style w:type="paragraph" w:customStyle="1" w:styleId="xl45">
    <w:name w:val="xl45"/>
    <w:basedOn w:val="Normal"/>
    <w:rsid w:val="004A15FA"/>
    <w:pPr>
      <w:pBdr>
        <w:left w:val="single" w:sz="4" w:space="0" w:color="auto"/>
        <w:right w:val="single" w:sz="4" w:space="0" w:color="auto"/>
      </w:pBdr>
      <w:spacing w:before="100" w:beforeAutospacing="1" w:after="100" w:afterAutospacing="1"/>
      <w:textAlignment w:val="top"/>
    </w:pPr>
    <w:rPr>
      <w:rFonts w:eastAsia="Arial Unicode MS" w:cs="Times New Roman"/>
      <w:szCs w:val="24"/>
    </w:rPr>
  </w:style>
  <w:style w:type="paragraph" w:customStyle="1" w:styleId="xl46">
    <w:name w:val="xl46"/>
    <w:basedOn w:val="Normal"/>
    <w:rsid w:val="004A15F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Times New Roman"/>
      <w:szCs w:val="24"/>
    </w:rPr>
  </w:style>
  <w:style w:type="paragraph" w:customStyle="1" w:styleId="font5">
    <w:name w:val="font5"/>
    <w:basedOn w:val="Normal"/>
    <w:rsid w:val="004A15FA"/>
    <w:pPr>
      <w:spacing w:before="100" w:beforeAutospacing="1" w:after="100" w:afterAutospacing="1"/>
    </w:pPr>
    <w:rPr>
      <w:rFonts w:eastAsia="Arial Unicode MS" w:cs="Times New Roman"/>
      <w:b/>
      <w:bCs/>
      <w:sz w:val="20"/>
      <w:szCs w:val="20"/>
    </w:rPr>
  </w:style>
  <w:style w:type="paragraph" w:customStyle="1" w:styleId="xl47">
    <w:name w:val="xl47"/>
    <w:basedOn w:val="Normal"/>
    <w:rsid w:val="004A15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48">
    <w:name w:val="xl48"/>
    <w:basedOn w:val="Normal"/>
    <w:rsid w:val="004A15FA"/>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eastAsia="Arial Unicode MS" w:cs="Times New Roman"/>
      <w:b/>
      <w:bCs/>
      <w:szCs w:val="24"/>
    </w:rPr>
  </w:style>
  <w:style w:type="paragraph" w:styleId="BodyText20">
    <w:name w:val="Body Text 2"/>
    <w:basedOn w:val="Normal"/>
    <w:link w:val="BodyText2Char"/>
    <w:rsid w:val="004A15FA"/>
    <w:rPr>
      <w:rFonts w:eastAsia="Times New Roman" w:cs="Times New Roman"/>
      <w:color w:val="FFFFFF"/>
      <w:sz w:val="18"/>
      <w:szCs w:val="24"/>
    </w:rPr>
  </w:style>
  <w:style w:type="character" w:customStyle="1" w:styleId="BodyText2Char">
    <w:name w:val="Body Text 2 Char"/>
    <w:basedOn w:val="DefaultParagraphFont"/>
    <w:link w:val="BodyText20"/>
    <w:rsid w:val="004A15FA"/>
    <w:rPr>
      <w:rFonts w:ascii="Times New Roman" w:eastAsia="Times New Roman" w:hAnsi="Times New Roman" w:cs="Times New Roman"/>
      <w:color w:val="FFFFFF"/>
      <w:sz w:val="18"/>
      <w:szCs w:val="24"/>
    </w:rPr>
  </w:style>
  <w:style w:type="paragraph" w:customStyle="1" w:styleId="Level1">
    <w:name w:val="Level 1"/>
    <w:basedOn w:val="Normal"/>
    <w:rsid w:val="004A15FA"/>
    <w:pPr>
      <w:widowControl w:val="0"/>
      <w:tabs>
        <w:tab w:val="num" w:pos="720"/>
      </w:tabs>
      <w:autoSpaceDE w:val="0"/>
      <w:autoSpaceDN w:val="0"/>
      <w:adjustRightInd w:val="0"/>
      <w:ind w:left="432" w:hanging="432"/>
      <w:outlineLvl w:val="0"/>
    </w:pPr>
    <w:rPr>
      <w:rFonts w:eastAsia="Times New Roman" w:cs="Times New Roman"/>
      <w:sz w:val="20"/>
      <w:szCs w:val="24"/>
    </w:rPr>
  </w:style>
  <w:style w:type="paragraph" w:customStyle="1" w:styleId="Level2">
    <w:name w:val="Level 2"/>
    <w:basedOn w:val="Normal"/>
    <w:rsid w:val="004A15FA"/>
    <w:pPr>
      <w:widowControl w:val="0"/>
      <w:tabs>
        <w:tab w:val="num" w:pos="576"/>
      </w:tabs>
      <w:autoSpaceDE w:val="0"/>
      <w:autoSpaceDN w:val="0"/>
      <w:adjustRightInd w:val="0"/>
      <w:ind w:left="576" w:hanging="576"/>
      <w:outlineLvl w:val="1"/>
    </w:pPr>
    <w:rPr>
      <w:rFonts w:eastAsia="Times New Roman" w:cs="Times New Roman"/>
      <w:sz w:val="20"/>
      <w:szCs w:val="24"/>
    </w:rPr>
  </w:style>
  <w:style w:type="paragraph" w:customStyle="1" w:styleId="Level3">
    <w:name w:val="Level 3"/>
    <w:basedOn w:val="Normal"/>
    <w:rsid w:val="004A15FA"/>
    <w:pPr>
      <w:widowControl w:val="0"/>
      <w:tabs>
        <w:tab w:val="num" w:pos="720"/>
      </w:tabs>
      <w:autoSpaceDE w:val="0"/>
      <w:autoSpaceDN w:val="0"/>
      <w:adjustRightInd w:val="0"/>
      <w:ind w:left="720" w:hanging="720"/>
      <w:outlineLvl w:val="2"/>
    </w:pPr>
    <w:rPr>
      <w:rFonts w:eastAsia="Times New Roman" w:cs="Times New Roman"/>
      <w:sz w:val="20"/>
      <w:szCs w:val="24"/>
    </w:rPr>
  </w:style>
  <w:style w:type="paragraph" w:customStyle="1" w:styleId="a0">
    <w:name w:val="û"/>
    <w:basedOn w:val="Normal"/>
    <w:rsid w:val="004A1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5"/>
    </w:pPr>
    <w:rPr>
      <w:rFonts w:eastAsia="Times New Roman" w:cs="Times New Roman"/>
      <w:szCs w:val="24"/>
    </w:rPr>
  </w:style>
  <w:style w:type="paragraph" w:customStyle="1" w:styleId="a1">
    <w:name w:val="ü"/>
    <w:basedOn w:val="Normal"/>
    <w:rsid w:val="004A1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6"/>
    </w:pPr>
    <w:rPr>
      <w:rFonts w:eastAsia="Times New Roman" w:cs="Times New Roman"/>
      <w:szCs w:val="24"/>
    </w:rPr>
  </w:style>
  <w:style w:type="paragraph" w:customStyle="1" w:styleId="a2">
    <w:name w:val="ý"/>
    <w:basedOn w:val="Normal"/>
    <w:rsid w:val="004A1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outlineLvl w:val="7"/>
    </w:pPr>
    <w:rPr>
      <w:rFonts w:eastAsia="Times New Roman" w:cs="Times New Roman"/>
      <w:szCs w:val="24"/>
    </w:rPr>
  </w:style>
  <w:style w:type="paragraph" w:styleId="TOC6">
    <w:name w:val="toc 6"/>
    <w:basedOn w:val="Normal"/>
    <w:next w:val="Normal"/>
    <w:autoRedefine/>
    <w:uiPriority w:val="39"/>
    <w:rsid w:val="004A15FA"/>
    <w:pPr>
      <w:ind w:left="1200"/>
    </w:pPr>
    <w:rPr>
      <w:rFonts w:eastAsia="Times New Roman" w:cs="Times New Roman"/>
      <w:szCs w:val="24"/>
    </w:rPr>
  </w:style>
  <w:style w:type="paragraph" w:styleId="TOC7">
    <w:name w:val="toc 7"/>
    <w:basedOn w:val="Normal"/>
    <w:next w:val="Normal"/>
    <w:autoRedefine/>
    <w:uiPriority w:val="39"/>
    <w:rsid w:val="004A15FA"/>
    <w:pPr>
      <w:ind w:left="1440"/>
    </w:pPr>
    <w:rPr>
      <w:rFonts w:eastAsia="Times New Roman" w:cs="Times New Roman"/>
      <w:szCs w:val="24"/>
    </w:rPr>
  </w:style>
  <w:style w:type="paragraph" w:styleId="TOC8">
    <w:name w:val="toc 8"/>
    <w:basedOn w:val="Normal"/>
    <w:next w:val="Normal"/>
    <w:autoRedefine/>
    <w:uiPriority w:val="39"/>
    <w:rsid w:val="004A15FA"/>
    <w:pPr>
      <w:ind w:left="1680"/>
    </w:pPr>
    <w:rPr>
      <w:rFonts w:eastAsia="Times New Roman" w:cs="Times New Roman"/>
      <w:szCs w:val="24"/>
    </w:rPr>
  </w:style>
  <w:style w:type="paragraph" w:styleId="TOC9">
    <w:name w:val="toc 9"/>
    <w:basedOn w:val="Normal"/>
    <w:next w:val="Normal"/>
    <w:autoRedefine/>
    <w:uiPriority w:val="39"/>
    <w:rsid w:val="004A15FA"/>
    <w:pPr>
      <w:ind w:left="1920"/>
    </w:pPr>
    <w:rPr>
      <w:rFonts w:eastAsia="Times New Roman" w:cs="Times New Roman"/>
      <w:szCs w:val="24"/>
    </w:rPr>
  </w:style>
  <w:style w:type="paragraph" w:customStyle="1" w:styleId="Legal2">
    <w:name w:val="Legal 2"/>
    <w:basedOn w:val="Normal"/>
    <w:rsid w:val="004A15FA"/>
    <w:pPr>
      <w:widowControl w:val="0"/>
      <w:autoSpaceDE w:val="0"/>
      <w:autoSpaceDN w:val="0"/>
      <w:adjustRightInd w:val="0"/>
      <w:ind w:left="720" w:hanging="360"/>
      <w:outlineLvl w:val="1"/>
    </w:pPr>
    <w:rPr>
      <w:rFonts w:eastAsia="Times New Roman" w:cs="Times New Roman"/>
      <w:szCs w:val="24"/>
    </w:rPr>
  </w:style>
  <w:style w:type="character" w:styleId="FootnoteReference">
    <w:name w:val="footnote reference"/>
    <w:uiPriority w:val="99"/>
    <w:rsid w:val="004A15FA"/>
    <w:rPr>
      <w:vertAlign w:val="superscript"/>
    </w:rPr>
  </w:style>
  <w:style w:type="paragraph" w:customStyle="1" w:styleId="Legal5">
    <w:name w:val="Legal 5"/>
    <w:rsid w:val="004A15FA"/>
    <w:pPr>
      <w:widowControl w:val="0"/>
      <w:autoSpaceDE w:val="0"/>
      <w:autoSpaceDN w:val="0"/>
      <w:adjustRightInd w:val="0"/>
      <w:ind w:left="720"/>
      <w:jc w:val="both"/>
    </w:pPr>
    <w:rPr>
      <w:rFonts w:ascii="Times New Roman" w:eastAsia="Times New Roman" w:hAnsi="Times New Roman" w:cs="Times New Roman"/>
      <w:sz w:val="24"/>
      <w:szCs w:val="24"/>
    </w:rPr>
  </w:style>
  <w:style w:type="paragraph" w:styleId="Title">
    <w:name w:val="Title"/>
    <w:basedOn w:val="Normal"/>
    <w:link w:val="TitleChar"/>
    <w:qFormat/>
    <w:rsid w:val="004A15FA"/>
    <w:pPr>
      <w:widowControl w:val="0"/>
      <w:autoSpaceDE w:val="0"/>
      <w:autoSpaceDN w:val="0"/>
      <w:adjustRightInd w:val="0"/>
      <w:jc w:val="center"/>
    </w:pPr>
    <w:rPr>
      <w:rFonts w:eastAsia="Times New Roman" w:cs="Times New Roman"/>
      <w:b/>
      <w:bCs/>
      <w:szCs w:val="24"/>
    </w:rPr>
  </w:style>
  <w:style w:type="character" w:customStyle="1" w:styleId="TitleChar">
    <w:name w:val="Title Char"/>
    <w:basedOn w:val="DefaultParagraphFont"/>
    <w:link w:val="Title"/>
    <w:rsid w:val="004A15FA"/>
    <w:rPr>
      <w:rFonts w:ascii="Times New Roman" w:eastAsia="Times New Roman" w:hAnsi="Times New Roman" w:cs="Times New Roman"/>
      <w:b/>
      <w:bCs/>
      <w:sz w:val="24"/>
      <w:szCs w:val="24"/>
    </w:rPr>
  </w:style>
  <w:style w:type="paragraph" w:customStyle="1" w:styleId="Level7">
    <w:name w:val="Level 7"/>
    <w:rsid w:val="004A15FA"/>
    <w:pPr>
      <w:autoSpaceDE w:val="0"/>
      <w:autoSpaceDN w:val="0"/>
      <w:adjustRightInd w:val="0"/>
      <w:ind w:left="-1440"/>
    </w:pPr>
    <w:rPr>
      <w:rFonts w:ascii="Times New Roman" w:eastAsia="Times New Roman" w:hAnsi="Times New Roman" w:cs="Times New Roman"/>
      <w:sz w:val="24"/>
      <w:szCs w:val="24"/>
    </w:rPr>
  </w:style>
  <w:style w:type="paragraph" w:customStyle="1" w:styleId="Level9">
    <w:name w:val="Level 9"/>
    <w:rsid w:val="004A15FA"/>
    <w:pPr>
      <w:autoSpaceDE w:val="0"/>
      <w:autoSpaceDN w:val="0"/>
      <w:adjustRightInd w:val="0"/>
      <w:ind w:left="-1440"/>
    </w:pPr>
    <w:rPr>
      <w:rFonts w:ascii="Times New Roman" w:eastAsia="Times New Roman" w:hAnsi="Times New Roman" w:cs="Times New Roman"/>
      <w:b/>
      <w:bCs/>
      <w:sz w:val="24"/>
      <w:szCs w:val="24"/>
    </w:rPr>
  </w:style>
  <w:style w:type="paragraph" w:customStyle="1" w:styleId="Outline1">
    <w:name w:val="Outline 1"/>
    <w:basedOn w:val="Normal"/>
    <w:rsid w:val="004A15FA"/>
    <w:pPr>
      <w:ind w:left="720"/>
    </w:pPr>
    <w:rPr>
      <w:rFonts w:eastAsia="Times New Roman" w:cs="Times New Roman"/>
      <w:sz w:val="20"/>
      <w:szCs w:val="20"/>
      <w:lang w:val="en-GB"/>
    </w:rPr>
  </w:style>
  <w:style w:type="paragraph" w:customStyle="1" w:styleId="Legal3">
    <w:name w:val="Legal 3"/>
    <w:basedOn w:val="Normal"/>
    <w:rsid w:val="004A15FA"/>
    <w:pPr>
      <w:widowControl w:val="0"/>
      <w:autoSpaceDE w:val="0"/>
      <w:autoSpaceDN w:val="0"/>
      <w:adjustRightInd w:val="0"/>
      <w:ind w:left="1080" w:hanging="360"/>
      <w:outlineLvl w:val="2"/>
    </w:pPr>
    <w:rPr>
      <w:rFonts w:eastAsia="Times New Roman" w:cs="Times New Roman"/>
      <w:szCs w:val="24"/>
    </w:rPr>
  </w:style>
  <w:style w:type="paragraph" w:customStyle="1" w:styleId="Legal7">
    <w:name w:val="Legal 7"/>
    <w:basedOn w:val="Normal"/>
    <w:rsid w:val="004A15FA"/>
    <w:pPr>
      <w:widowControl w:val="0"/>
      <w:autoSpaceDE w:val="0"/>
      <w:autoSpaceDN w:val="0"/>
      <w:adjustRightInd w:val="0"/>
      <w:ind w:left="5400" w:hanging="720"/>
      <w:outlineLvl w:val="6"/>
    </w:pPr>
    <w:rPr>
      <w:rFonts w:eastAsia="Times New Roman" w:cs="Times New Roman"/>
      <w:szCs w:val="24"/>
    </w:rPr>
  </w:style>
  <w:style w:type="paragraph" w:styleId="Index1">
    <w:name w:val="index 1"/>
    <w:basedOn w:val="Normal"/>
    <w:next w:val="Normal"/>
    <w:autoRedefine/>
    <w:uiPriority w:val="99"/>
    <w:rsid w:val="004A15FA"/>
    <w:pPr>
      <w:tabs>
        <w:tab w:val="right" w:leader="dot" w:pos="4310"/>
      </w:tabs>
      <w:ind w:left="240" w:hanging="240"/>
    </w:pPr>
    <w:rPr>
      <w:rFonts w:eastAsia="Times New Roman" w:cs="Times New Roman"/>
      <w:noProof/>
      <w:sz w:val="18"/>
      <w:szCs w:val="18"/>
    </w:rPr>
  </w:style>
  <w:style w:type="paragraph" w:styleId="EndnoteText">
    <w:name w:val="endnote text"/>
    <w:basedOn w:val="Normal"/>
    <w:link w:val="EndnoteTextChar"/>
    <w:rsid w:val="004A15FA"/>
    <w:rPr>
      <w:rFonts w:eastAsia="Times New Roman" w:cs="Times New Roman"/>
      <w:sz w:val="20"/>
      <w:szCs w:val="20"/>
    </w:rPr>
  </w:style>
  <w:style w:type="character" w:customStyle="1" w:styleId="EndnoteTextChar">
    <w:name w:val="Endnote Text Char"/>
    <w:basedOn w:val="DefaultParagraphFont"/>
    <w:link w:val="EndnoteText"/>
    <w:rsid w:val="004A15FA"/>
    <w:rPr>
      <w:rFonts w:ascii="Times New Roman" w:eastAsia="Times New Roman" w:hAnsi="Times New Roman" w:cs="Times New Roman"/>
      <w:sz w:val="20"/>
      <w:szCs w:val="20"/>
    </w:rPr>
  </w:style>
  <w:style w:type="character" w:customStyle="1" w:styleId="Bibliogrphy">
    <w:name w:val="Bibliogrphy"/>
    <w:basedOn w:val="DefaultParagraphFont"/>
    <w:rsid w:val="004A15FA"/>
  </w:style>
  <w:style w:type="character" w:customStyle="1" w:styleId="FiguretitleChar">
    <w:name w:val="Figure title Char"/>
    <w:rsid w:val="004A15FA"/>
    <w:rPr>
      <w:sz w:val="24"/>
      <w:szCs w:val="24"/>
      <w:lang w:val="en-US" w:eastAsia="en-US" w:bidi="ar-SA"/>
    </w:rPr>
  </w:style>
  <w:style w:type="paragraph" w:styleId="TableofFigures">
    <w:name w:val="table of figures"/>
    <w:basedOn w:val="Normal"/>
    <w:next w:val="Normal"/>
    <w:uiPriority w:val="99"/>
    <w:rsid w:val="004A15FA"/>
    <w:pPr>
      <w:ind w:left="480" w:hanging="480"/>
    </w:pPr>
    <w:rPr>
      <w:rFonts w:eastAsia="Times New Roman" w:cs="Times New Roman"/>
      <w:szCs w:val="24"/>
    </w:rPr>
  </w:style>
  <w:style w:type="paragraph" w:customStyle="1" w:styleId="font6">
    <w:name w:val="font6"/>
    <w:basedOn w:val="Normal"/>
    <w:rsid w:val="004A15FA"/>
    <w:pPr>
      <w:spacing w:before="100" w:after="100"/>
    </w:pPr>
    <w:rPr>
      <w:rFonts w:ascii="Arial" w:eastAsia="Arial Unicode MS" w:hAnsi="Arial" w:cs="Times New Roman"/>
      <w:sz w:val="16"/>
      <w:szCs w:val="24"/>
    </w:rPr>
  </w:style>
  <w:style w:type="paragraph" w:customStyle="1" w:styleId="font7">
    <w:name w:val="font7"/>
    <w:basedOn w:val="Normal"/>
    <w:rsid w:val="004A15FA"/>
    <w:pPr>
      <w:spacing w:before="100" w:after="100"/>
    </w:pPr>
    <w:rPr>
      <w:rFonts w:ascii="Arial" w:eastAsia="Arial Unicode MS" w:hAnsi="Arial" w:cs="Times New Roman"/>
      <w:b/>
      <w:sz w:val="16"/>
      <w:szCs w:val="24"/>
    </w:rPr>
  </w:style>
  <w:style w:type="paragraph" w:customStyle="1" w:styleId="font8">
    <w:name w:val="font8"/>
    <w:basedOn w:val="Normal"/>
    <w:rsid w:val="004A15FA"/>
    <w:pPr>
      <w:spacing w:before="100" w:after="100"/>
    </w:pPr>
    <w:rPr>
      <w:rFonts w:ascii="Arial" w:eastAsia="Arial Unicode MS" w:hAnsi="Arial" w:cs="Times New Roman"/>
      <w:sz w:val="16"/>
      <w:szCs w:val="24"/>
    </w:rPr>
  </w:style>
  <w:style w:type="paragraph" w:customStyle="1" w:styleId="xl49">
    <w:name w:val="xl49"/>
    <w:basedOn w:val="Normal"/>
    <w:rsid w:val="004A15FA"/>
    <w:pPr>
      <w:pBdr>
        <w:top w:val="single" w:sz="4" w:space="0" w:color="auto"/>
        <w:left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50">
    <w:name w:val="xl50"/>
    <w:basedOn w:val="Normal"/>
    <w:rsid w:val="004A15FA"/>
    <w:pPr>
      <w:pBdr>
        <w:top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1">
    <w:name w:val="xl51"/>
    <w:basedOn w:val="Normal"/>
    <w:rsid w:val="004A15FA"/>
    <w:pPr>
      <w:pBdr>
        <w:top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2">
    <w:name w:val="xl52"/>
    <w:basedOn w:val="Normal"/>
    <w:rsid w:val="004A15FA"/>
    <w:pPr>
      <w:pBdr>
        <w:top w:val="single" w:sz="4" w:space="0" w:color="auto"/>
        <w:left w:val="single" w:sz="4" w:space="0" w:color="auto"/>
        <w:right w:val="single" w:sz="4" w:space="0" w:color="auto"/>
      </w:pBdr>
      <w:shd w:val="clear" w:color="auto" w:fill="FFFF00"/>
      <w:spacing w:before="100" w:after="100"/>
    </w:pPr>
    <w:rPr>
      <w:rFonts w:ascii="Arial" w:eastAsia="Arial Unicode MS" w:hAnsi="Arial" w:cs="Times New Roman"/>
      <w:b/>
      <w:sz w:val="16"/>
      <w:szCs w:val="24"/>
    </w:rPr>
  </w:style>
  <w:style w:type="paragraph" w:customStyle="1" w:styleId="xl53">
    <w:name w:val="xl53"/>
    <w:basedOn w:val="Normal"/>
    <w:rsid w:val="004A15FA"/>
    <w:pPr>
      <w:pBdr>
        <w:top w:val="single" w:sz="4" w:space="0" w:color="auto"/>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4">
    <w:name w:val="xl54"/>
    <w:basedOn w:val="Normal"/>
    <w:rsid w:val="004A15FA"/>
    <w:pPr>
      <w:pBdr>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5">
    <w:name w:val="xl55"/>
    <w:basedOn w:val="Normal"/>
    <w:rsid w:val="004A15FA"/>
    <w:pPr>
      <w:pBdr>
        <w:left w:val="single" w:sz="4" w:space="0" w:color="auto"/>
        <w:bottom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56">
    <w:name w:val="xl56"/>
    <w:basedOn w:val="Normal"/>
    <w:rsid w:val="004A15FA"/>
    <w:pPr>
      <w:pBdr>
        <w:top w:val="single" w:sz="4" w:space="0" w:color="auto"/>
        <w:left w:val="single" w:sz="4" w:space="0" w:color="auto"/>
        <w:right w:val="single" w:sz="4" w:space="0" w:color="auto"/>
      </w:pBdr>
      <w:shd w:val="clear" w:color="auto" w:fill="FFFF00"/>
      <w:spacing w:before="100" w:after="100"/>
    </w:pPr>
    <w:rPr>
      <w:rFonts w:ascii="Arial" w:eastAsia="Arial Unicode MS" w:hAnsi="Arial" w:cs="Times New Roman"/>
      <w:b/>
      <w:sz w:val="16"/>
      <w:szCs w:val="24"/>
    </w:rPr>
  </w:style>
  <w:style w:type="paragraph" w:customStyle="1" w:styleId="xl57">
    <w:name w:val="xl57"/>
    <w:basedOn w:val="Normal"/>
    <w:rsid w:val="004A15FA"/>
    <w:pPr>
      <w:pBdr>
        <w:top w:val="single" w:sz="4" w:space="0" w:color="auto"/>
        <w:left w:val="single" w:sz="4" w:space="0" w:color="auto"/>
        <w:right w:val="single" w:sz="4" w:space="0" w:color="auto"/>
      </w:pBdr>
      <w:spacing w:before="100" w:after="100"/>
    </w:pPr>
    <w:rPr>
      <w:rFonts w:ascii="Arial" w:eastAsia="Arial Unicode MS" w:hAnsi="Arial" w:cs="Times New Roman"/>
      <w:b/>
      <w:sz w:val="16"/>
      <w:szCs w:val="24"/>
    </w:rPr>
  </w:style>
  <w:style w:type="paragraph" w:customStyle="1" w:styleId="xl58">
    <w:name w:val="xl58"/>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59">
    <w:name w:val="xl59"/>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0">
    <w:name w:val="xl60"/>
    <w:basedOn w:val="Normal"/>
    <w:rsid w:val="004A15FA"/>
    <w:pPr>
      <w:pBdr>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61">
    <w:name w:val="xl61"/>
    <w:basedOn w:val="Normal"/>
    <w:rsid w:val="004A15FA"/>
    <w:pPr>
      <w:pBdr>
        <w:left w:val="single" w:sz="4" w:space="0" w:color="auto"/>
        <w:right w:val="single" w:sz="4" w:space="0" w:color="auto"/>
      </w:pBdr>
      <w:shd w:val="clear" w:color="auto" w:fill="FFFF00"/>
      <w:spacing w:before="100" w:after="100"/>
    </w:pPr>
    <w:rPr>
      <w:rFonts w:ascii="Arial" w:eastAsia="Arial Unicode MS" w:hAnsi="Arial" w:cs="Times New Roman"/>
      <w:b/>
      <w:sz w:val="16"/>
      <w:szCs w:val="24"/>
    </w:rPr>
  </w:style>
  <w:style w:type="paragraph" w:customStyle="1" w:styleId="xl62">
    <w:name w:val="xl62"/>
    <w:basedOn w:val="Normal"/>
    <w:rsid w:val="004A15FA"/>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b/>
      <w:sz w:val="16"/>
      <w:szCs w:val="24"/>
    </w:rPr>
  </w:style>
  <w:style w:type="paragraph" w:customStyle="1" w:styleId="xl63">
    <w:name w:val="xl63"/>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4">
    <w:name w:val="xl64"/>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5">
    <w:name w:val="xl65"/>
    <w:basedOn w:val="Normal"/>
    <w:rsid w:val="004A15FA"/>
    <w:pPr>
      <w:pBdr>
        <w:top w:val="single" w:sz="4" w:space="0" w:color="auto"/>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66">
    <w:name w:val="xl66"/>
    <w:basedOn w:val="Normal"/>
    <w:rsid w:val="004A15FA"/>
    <w:pPr>
      <w:pBdr>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67">
    <w:name w:val="xl67"/>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8">
    <w:name w:val="xl68"/>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69">
    <w:name w:val="xl69"/>
    <w:basedOn w:val="Normal"/>
    <w:rsid w:val="004A15FA"/>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70">
    <w:name w:val="xl70"/>
    <w:basedOn w:val="Normal"/>
    <w:rsid w:val="004A15FA"/>
    <w:pPr>
      <w:pBdr>
        <w:left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71">
    <w:name w:val="xl71"/>
    <w:basedOn w:val="Normal"/>
    <w:rsid w:val="004A15FA"/>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72">
    <w:name w:val="xl72"/>
    <w:basedOn w:val="Normal"/>
    <w:rsid w:val="004A15FA"/>
    <w:pPr>
      <w:pBdr>
        <w:top w:val="single" w:sz="4" w:space="0" w:color="auto"/>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73">
    <w:name w:val="xl73"/>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74">
    <w:name w:val="xl74"/>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75">
    <w:name w:val="xl75"/>
    <w:basedOn w:val="Normal"/>
    <w:rsid w:val="004A15FA"/>
    <w:pPr>
      <w:pBdr>
        <w:left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76">
    <w:name w:val="xl76"/>
    <w:basedOn w:val="Normal"/>
    <w:rsid w:val="004A15FA"/>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77">
    <w:name w:val="xl77"/>
    <w:basedOn w:val="Normal"/>
    <w:rsid w:val="004A15FA"/>
    <w:pPr>
      <w:pBdr>
        <w:left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78">
    <w:name w:val="xl78"/>
    <w:basedOn w:val="Normal"/>
    <w:rsid w:val="004A15FA"/>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79">
    <w:name w:val="xl79"/>
    <w:basedOn w:val="Normal"/>
    <w:rsid w:val="004A15FA"/>
    <w:pPr>
      <w:pBdr>
        <w:left w:val="single" w:sz="4" w:space="0" w:color="auto"/>
        <w:right w:val="single" w:sz="4" w:space="0" w:color="auto"/>
      </w:pBdr>
      <w:spacing w:before="100" w:after="100"/>
      <w:jc w:val="center"/>
    </w:pPr>
    <w:rPr>
      <w:rFonts w:ascii="Arial" w:eastAsia="Arial Unicode MS" w:hAnsi="Arial" w:cs="Times New Roman"/>
      <w:sz w:val="16"/>
      <w:szCs w:val="24"/>
    </w:rPr>
  </w:style>
  <w:style w:type="paragraph" w:customStyle="1" w:styleId="xl80">
    <w:name w:val="xl80"/>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1">
    <w:name w:val="xl81"/>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2">
    <w:name w:val="xl82"/>
    <w:basedOn w:val="Normal"/>
    <w:rsid w:val="004A15FA"/>
    <w:pPr>
      <w:pBdr>
        <w:top w:val="single" w:sz="4" w:space="0" w:color="auto"/>
        <w:left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83">
    <w:name w:val="xl83"/>
    <w:basedOn w:val="Normal"/>
    <w:rsid w:val="004A15FA"/>
    <w:pPr>
      <w:pBdr>
        <w:left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84">
    <w:name w:val="xl84"/>
    <w:basedOn w:val="Normal"/>
    <w:rsid w:val="004A15FA"/>
    <w:pPr>
      <w:pBdr>
        <w:left w:val="single" w:sz="4" w:space="0" w:color="auto"/>
        <w:bottom w:val="single" w:sz="4" w:space="0" w:color="auto"/>
        <w:right w:val="single" w:sz="4" w:space="0" w:color="auto"/>
      </w:pBdr>
      <w:shd w:val="clear" w:color="auto" w:fill="FFFF00"/>
      <w:spacing w:before="100" w:after="100"/>
      <w:jc w:val="center"/>
    </w:pPr>
    <w:rPr>
      <w:rFonts w:ascii="Arial" w:eastAsia="Arial Unicode MS" w:hAnsi="Arial" w:cs="Times New Roman"/>
      <w:b/>
      <w:sz w:val="16"/>
      <w:szCs w:val="24"/>
    </w:rPr>
  </w:style>
  <w:style w:type="paragraph" w:customStyle="1" w:styleId="xl85">
    <w:name w:val="xl85"/>
    <w:basedOn w:val="Normal"/>
    <w:rsid w:val="004A15FA"/>
    <w:pPr>
      <w:pBdr>
        <w:top w:val="single" w:sz="4" w:space="0" w:color="auto"/>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6">
    <w:name w:val="xl86"/>
    <w:basedOn w:val="Normal"/>
    <w:rsid w:val="004A15FA"/>
    <w:pPr>
      <w:pBdr>
        <w:left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7">
    <w:name w:val="xl87"/>
    <w:basedOn w:val="Normal"/>
    <w:rsid w:val="004A15FA"/>
    <w:pPr>
      <w:pBdr>
        <w:left w:val="single" w:sz="4" w:space="0" w:color="auto"/>
        <w:bottom w:val="single" w:sz="4" w:space="0" w:color="auto"/>
        <w:right w:val="single" w:sz="4" w:space="0" w:color="auto"/>
      </w:pBdr>
      <w:spacing w:before="100" w:after="100"/>
    </w:pPr>
    <w:rPr>
      <w:rFonts w:ascii="Arial" w:eastAsia="Arial Unicode MS" w:hAnsi="Arial" w:cs="Times New Roman"/>
      <w:sz w:val="16"/>
      <w:szCs w:val="24"/>
    </w:rPr>
  </w:style>
  <w:style w:type="paragraph" w:customStyle="1" w:styleId="xl88">
    <w:name w:val="xl88"/>
    <w:basedOn w:val="Normal"/>
    <w:rsid w:val="004A15FA"/>
    <w:pPr>
      <w:pBdr>
        <w:left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xl89">
    <w:name w:val="xl89"/>
    <w:basedOn w:val="Normal"/>
    <w:rsid w:val="004A15FA"/>
    <w:pPr>
      <w:pBdr>
        <w:left w:val="single" w:sz="4" w:space="0" w:color="auto"/>
        <w:bottom w:val="single" w:sz="4" w:space="0" w:color="auto"/>
        <w:right w:val="single" w:sz="4" w:space="0" w:color="auto"/>
      </w:pBdr>
      <w:shd w:val="clear" w:color="auto" w:fill="FFFF00"/>
      <w:spacing w:before="100" w:after="100"/>
    </w:pPr>
    <w:rPr>
      <w:rFonts w:ascii="Arial" w:eastAsia="Arial Unicode MS" w:hAnsi="Arial" w:cs="Times New Roman"/>
      <w:sz w:val="16"/>
      <w:szCs w:val="24"/>
    </w:rPr>
  </w:style>
  <w:style w:type="paragraph" w:customStyle="1" w:styleId="font9">
    <w:name w:val="font9"/>
    <w:basedOn w:val="Normal"/>
    <w:rsid w:val="004A15FA"/>
    <w:pPr>
      <w:spacing w:before="100" w:after="100"/>
    </w:pPr>
    <w:rPr>
      <w:rFonts w:ascii="Arial" w:eastAsia="Arial Unicode MS" w:hAnsi="Arial" w:cs="Times New Roman"/>
      <w:color w:val="FF0000"/>
      <w:sz w:val="16"/>
      <w:szCs w:val="24"/>
    </w:rPr>
  </w:style>
  <w:style w:type="paragraph" w:customStyle="1" w:styleId="font10">
    <w:name w:val="font10"/>
    <w:basedOn w:val="Normal"/>
    <w:rsid w:val="004A15FA"/>
    <w:pPr>
      <w:spacing w:before="100" w:after="100"/>
    </w:pPr>
    <w:rPr>
      <w:rFonts w:ascii="Arial" w:eastAsia="Arial Unicode MS" w:hAnsi="Arial" w:cs="Times New Roman"/>
      <w:b/>
      <w:sz w:val="16"/>
      <w:szCs w:val="24"/>
    </w:rPr>
  </w:style>
  <w:style w:type="paragraph" w:customStyle="1" w:styleId="xl90">
    <w:name w:val="xl90"/>
    <w:basedOn w:val="Normal"/>
    <w:rsid w:val="004A15FA"/>
    <w:pPr>
      <w:pBdr>
        <w:left w:val="single" w:sz="12" w:space="0" w:color="auto"/>
        <w:bottom w:val="single" w:sz="12" w:space="0" w:color="auto"/>
      </w:pBdr>
      <w:spacing w:before="100" w:after="100"/>
      <w:jc w:val="center"/>
    </w:pPr>
    <w:rPr>
      <w:rFonts w:ascii="Arial" w:eastAsia="Arial Unicode MS" w:hAnsi="Arial" w:cs="Times New Roman"/>
      <w:color w:val="000080"/>
      <w:sz w:val="16"/>
      <w:szCs w:val="24"/>
    </w:rPr>
  </w:style>
  <w:style w:type="paragraph" w:customStyle="1" w:styleId="xl91">
    <w:name w:val="xl91"/>
    <w:basedOn w:val="Normal"/>
    <w:rsid w:val="004A15FA"/>
    <w:pPr>
      <w:pBdr>
        <w:bottom w:val="single" w:sz="12" w:space="0" w:color="auto"/>
      </w:pBdr>
      <w:spacing w:before="100" w:after="100"/>
      <w:jc w:val="center"/>
    </w:pPr>
    <w:rPr>
      <w:rFonts w:ascii="Arial" w:eastAsia="Arial Unicode MS" w:hAnsi="Arial" w:cs="Times New Roman"/>
      <w:color w:val="000080"/>
      <w:sz w:val="16"/>
      <w:szCs w:val="24"/>
    </w:rPr>
  </w:style>
  <w:style w:type="paragraph" w:customStyle="1" w:styleId="xl92">
    <w:name w:val="xl92"/>
    <w:basedOn w:val="Normal"/>
    <w:rsid w:val="004A15FA"/>
    <w:pPr>
      <w:pBdr>
        <w:bottom w:val="single" w:sz="12" w:space="0" w:color="auto"/>
        <w:right w:val="single" w:sz="12" w:space="0" w:color="auto"/>
      </w:pBdr>
      <w:spacing w:before="100" w:after="100"/>
      <w:jc w:val="center"/>
    </w:pPr>
    <w:rPr>
      <w:rFonts w:ascii="Arial" w:eastAsia="Arial Unicode MS" w:hAnsi="Arial" w:cs="Times New Roman"/>
      <w:color w:val="000080"/>
      <w:sz w:val="16"/>
      <w:szCs w:val="24"/>
    </w:rPr>
  </w:style>
  <w:style w:type="paragraph" w:customStyle="1" w:styleId="xl93">
    <w:name w:val="xl93"/>
    <w:basedOn w:val="Normal"/>
    <w:rsid w:val="004A15FA"/>
    <w:pPr>
      <w:pBdr>
        <w:top w:val="single" w:sz="4" w:space="0" w:color="auto"/>
        <w:left w:val="single" w:sz="12" w:space="0" w:color="auto"/>
        <w:bottom w:val="single" w:sz="4" w:space="0" w:color="auto"/>
      </w:pBdr>
      <w:spacing w:before="100" w:after="100"/>
    </w:pPr>
    <w:rPr>
      <w:rFonts w:ascii="Arial" w:eastAsia="Arial Unicode MS" w:hAnsi="Arial" w:cs="Times New Roman"/>
      <w:color w:val="FF00FF"/>
      <w:sz w:val="16"/>
      <w:szCs w:val="24"/>
    </w:rPr>
  </w:style>
  <w:style w:type="paragraph" w:customStyle="1" w:styleId="xl94">
    <w:name w:val="xl94"/>
    <w:basedOn w:val="Normal"/>
    <w:rsid w:val="004A15FA"/>
    <w:pPr>
      <w:pBdr>
        <w:top w:val="single" w:sz="4" w:space="0" w:color="auto"/>
        <w:left w:val="single" w:sz="4" w:space="0" w:color="auto"/>
        <w:bottom w:val="single" w:sz="4" w:space="0" w:color="auto"/>
      </w:pBdr>
      <w:spacing w:before="100" w:after="100"/>
      <w:jc w:val="center"/>
    </w:pPr>
    <w:rPr>
      <w:rFonts w:ascii="Arial" w:eastAsia="Arial Unicode MS" w:hAnsi="Arial" w:cs="Times New Roman"/>
      <w:color w:val="800080"/>
      <w:sz w:val="16"/>
      <w:szCs w:val="24"/>
    </w:rPr>
  </w:style>
  <w:style w:type="paragraph" w:customStyle="1" w:styleId="xl95">
    <w:name w:val="xl95"/>
    <w:basedOn w:val="Normal"/>
    <w:rsid w:val="004A15FA"/>
    <w:pPr>
      <w:pBdr>
        <w:top w:val="single" w:sz="4" w:space="0" w:color="auto"/>
        <w:bottom w:val="single" w:sz="4" w:space="0" w:color="auto"/>
      </w:pBdr>
      <w:spacing w:before="100" w:after="100"/>
      <w:jc w:val="center"/>
    </w:pPr>
    <w:rPr>
      <w:rFonts w:ascii="Arial" w:eastAsia="Arial Unicode MS" w:hAnsi="Arial" w:cs="Times New Roman"/>
      <w:color w:val="800080"/>
      <w:sz w:val="16"/>
      <w:szCs w:val="24"/>
    </w:rPr>
  </w:style>
  <w:style w:type="paragraph" w:customStyle="1" w:styleId="xl96">
    <w:name w:val="xl96"/>
    <w:basedOn w:val="Normal"/>
    <w:rsid w:val="004A15FA"/>
    <w:pPr>
      <w:pBdr>
        <w:top w:val="single" w:sz="4" w:space="0" w:color="auto"/>
        <w:left w:val="single" w:sz="12" w:space="0" w:color="auto"/>
        <w:bottom w:val="single" w:sz="12" w:space="0" w:color="auto"/>
      </w:pBdr>
      <w:spacing w:before="100" w:after="100"/>
      <w:jc w:val="center"/>
    </w:pPr>
    <w:rPr>
      <w:rFonts w:ascii="Arial" w:eastAsia="Arial Unicode MS" w:hAnsi="Arial" w:cs="Times New Roman"/>
      <w:color w:val="800080"/>
      <w:sz w:val="16"/>
      <w:szCs w:val="24"/>
    </w:rPr>
  </w:style>
  <w:style w:type="paragraph" w:customStyle="1" w:styleId="xl97">
    <w:name w:val="xl97"/>
    <w:basedOn w:val="Normal"/>
    <w:rsid w:val="004A15FA"/>
    <w:pPr>
      <w:pBdr>
        <w:top w:val="single" w:sz="4" w:space="0" w:color="auto"/>
        <w:bottom w:val="single" w:sz="12" w:space="0" w:color="auto"/>
      </w:pBdr>
      <w:spacing w:before="100" w:after="100"/>
      <w:jc w:val="center"/>
    </w:pPr>
    <w:rPr>
      <w:rFonts w:ascii="Arial" w:eastAsia="Arial Unicode MS" w:hAnsi="Arial" w:cs="Times New Roman"/>
      <w:color w:val="800080"/>
      <w:sz w:val="16"/>
      <w:szCs w:val="24"/>
    </w:rPr>
  </w:style>
  <w:style w:type="paragraph" w:customStyle="1" w:styleId="xl98">
    <w:name w:val="xl98"/>
    <w:basedOn w:val="Normal"/>
    <w:rsid w:val="004A15FA"/>
    <w:pPr>
      <w:pBdr>
        <w:top w:val="single" w:sz="4" w:space="0" w:color="auto"/>
        <w:bottom w:val="single" w:sz="12" w:space="0" w:color="auto"/>
        <w:right w:val="single" w:sz="12" w:space="0" w:color="auto"/>
      </w:pBdr>
      <w:spacing w:before="100" w:after="100"/>
      <w:jc w:val="center"/>
    </w:pPr>
    <w:rPr>
      <w:rFonts w:ascii="Arial" w:eastAsia="Arial Unicode MS" w:hAnsi="Arial" w:cs="Times New Roman"/>
      <w:color w:val="800080"/>
      <w:sz w:val="16"/>
      <w:szCs w:val="24"/>
    </w:rPr>
  </w:style>
  <w:style w:type="paragraph" w:customStyle="1" w:styleId="xl99">
    <w:name w:val="xl99"/>
    <w:basedOn w:val="Normal"/>
    <w:rsid w:val="004A15FA"/>
    <w:pPr>
      <w:pBdr>
        <w:top w:val="single" w:sz="4" w:space="0" w:color="auto"/>
        <w:left w:val="single" w:sz="12" w:space="0" w:color="auto"/>
        <w:bottom w:val="single" w:sz="8" w:space="0" w:color="auto"/>
      </w:pBdr>
      <w:spacing w:before="100" w:after="100"/>
      <w:jc w:val="center"/>
    </w:pPr>
    <w:rPr>
      <w:rFonts w:ascii="Arial" w:eastAsia="Arial Unicode MS" w:hAnsi="Arial" w:cs="Times New Roman"/>
      <w:color w:val="800080"/>
      <w:sz w:val="16"/>
      <w:szCs w:val="24"/>
    </w:rPr>
  </w:style>
  <w:style w:type="paragraph" w:customStyle="1" w:styleId="xl100">
    <w:name w:val="xl100"/>
    <w:basedOn w:val="Normal"/>
    <w:rsid w:val="004A15FA"/>
    <w:pPr>
      <w:pBdr>
        <w:top w:val="single" w:sz="4" w:space="0" w:color="auto"/>
        <w:bottom w:val="single" w:sz="8" w:space="0" w:color="auto"/>
      </w:pBdr>
      <w:spacing w:before="100" w:after="100"/>
      <w:jc w:val="center"/>
    </w:pPr>
    <w:rPr>
      <w:rFonts w:ascii="Arial" w:eastAsia="Arial Unicode MS" w:hAnsi="Arial" w:cs="Times New Roman"/>
      <w:color w:val="800080"/>
      <w:sz w:val="16"/>
      <w:szCs w:val="24"/>
    </w:rPr>
  </w:style>
  <w:style w:type="paragraph" w:customStyle="1" w:styleId="xl101">
    <w:name w:val="xl101"/>
    <w:basedOn w:val="Normal"/>
    <w:rsid w:val="004A15FA"/>
    <w:pPr>
      <w:pBdr>
        <w:top w:val="single" w:sz="4" w:space="0" w:color="auto"/>
        <w:bottom w:val="single" w:sz="8" w:space="0" w:color="auto"/>
        <w:right w:val="single" w:sz="12" w:space="0" w:color="auto"/>
      </w:pBdr>
      <w:spacing w:before="100" w:after="100"/>
      <w:jc w:val="center"/>
    </w:pPr>
    <w:rPr>
      <w:rFonts w:ascii="Arial" w:eastAsia="Arial Unicode MS" w:hAnsi="Arial" w:cs="Times New Roman"/>
      <w:color w:val="800080"/>
      <w:sz w:val="16"/>
      <w:szCs w:val="24"/>
    </w:rPr>
  </w:style>
  <w:style w:type="paragraph" w:customStyle="1" w:styleId="xl102">
    <w:name w:val="xl102"/>
    <w:basedOn w:val="Normal"/>
    <w:rsid w:val="004A15FA"/>
    <w:pPr>
      <w:pBdr>
        <w:top w:val="single" w:sz="4" w:space="0" w:color="auto"/>
        <w:left w:val="single" w:sz="12" w:space="0" w:color="auto"/>
        <w:bottom w:val="single" w:sz="12" w:space="0" w:color="auto"/>
      </w:pBdr>
      <w:spacing w:before="100" w:after="100"/>
      <w:jc w:val="center"/>
    </w:pPr>
    <w:rPr>
      <w:rFonts w:ascii="Arial" w:eastAsia="Arial Unicode MS" w:hAnsi="Arial" w:cs="Times New Roman"/>
      <w:color w:val="008000"/>
      <w:sz w:val="16"/>
      <w:szCs w:val="24"/>
    </w:rPr>
  </w:style>
  <w:style w:type="paragraph" w:customStyle="1" w:styleId="xl103">
    <w:name w:val="xl103"/>
    <w:basedOn w:val="Normal"/>
    <w:rsid w:val="004A15FA"/>
    <w:pPr>
      <w:pBdr>
        <w:top w:val="single" w:sz="4" w:space="0" w:color="auto"/>
        <w:bottom w:val="single" w:sz="12" w:space="0" w:color="auto"/>
      </w:pBdr>
      <w:spacing w:before="100" w:after="100"/>
      <w:jc w:val="center"/>
    </w:pPr>
    <w:rPr>
      <w:rFonts w:ascii="Arial" w:eastAsia="Arial Unicode MS" w:hAnsi="Arial" w:cs="Times New Roman"/>
      <w:color w:val="008000"/>
      <w:sz w:val="16"/>
      <w:szCs w:val="24"/>
    </w:rPr>
  </w:style>
  <w:style w:type="paragraph" w:customStyle="1" w:styleId="xl104">
    <w:name w:val="xl104"/>
    <w:basedOn w:val="Normal"/>
    <w:rsid w:val="004A15FA"/>
    <w:pPr>
      <w:pBdr>
        <w:top w:val="single" w:sz="4" w:space="0" w:color="auto"/>
        <w:bottom w:val="single" w:sz="12" w:space="0" w:color="auto"/>
        <w:right w:val="single" w:sz="12" w:space="0" w:color="auto"/>
      </w:pBdr>
      <w:spacing w:before="100" w:after="100"/>
      <w:jc w:val="center"/>
    </w:pPr>
    <w:rPr>
      <w:rFonts w:ascii="Arial" w:eastAsia="Arial Unicode MS" w:hAnsi="Arial" w:cs="Times New Roman"/>
      <w:color w:val="008000"/>
      <w:sz w:val="16"/>
      <w:szCs w:val="24"/>
    </w:rPr>
  </w:style>
  <w:style w:type="paragraph" w:customStyle="1" w:styleId="xl105">
    <w:name w:val="xl105"/>
    <w:basedOn w:val="Normal"/>
    <w:rsid w:val="004A15FA"/>
    <w:pPr>
      <w:pBdr>
        <w:top w:val="single" w:sz="4" w:space="0" w:color="auto"/>
        <w:left w:val="single" w:sz="12" w:space="0" w:color="auto"/>
        <w:bottom w:val="single" w:sz="8" w:space="0" w:color="auto"/>
      </w:pBdr>
      <w:spacing w:before="100" w:after="100"/>
    </w:pPr>
    <w:rPr>
      <w:rFonts w:ascii="Arial" w:eastAsia="Arial Unicode MS" w:hAnsi="Arial" w:cs="Times New Roman"/>
      <w:color w:val="008000"/>
      <w:sz w:val="16"/>
      <w:szCs w:val="24"/>
    </w:rPr>
  </w:style>
  <w:style w:type="paragraph" w:customStyle="1" w:styleId="xl106">
    <w:name w:val="xl106"/>
    <w:basedOn w:val="Normal"/>
    <w:rsid w:val="004A15FA"/>
    <w:pPr>
      <w:pBdr>
        <w:left w:val="single" w:sz="12" w:space="0" w:color="auto"/>
        <w:bottom w:val="single" w:sz="4" w:space="0" w:color="auto"/>
      </w:pBdr>
      <w:spacing w:before="100" w:after="100"/>
    </w:pPr>
    <w:rPr>
      <w:rFonts w:ascii="Arial" w:eastAsia="Arial Unicode MS" w:hAnsi="Arial" w:cs="Times New Roman"/>
      <w:b/>
      <w:color w:val="FF00FF"/>
      <w:sz w:val="16"/>
      <w:szCs w:val="24"/>
    </w:rPr>
  </w:style>
  <w:style w:type="paragraph" w:customStyle="1" w:styleId="xl107">
    <w:name w:val="xl107"/>
    <w:basedOn w:val="Normal"/>
    <w:rsid w:val="004A15FA"/>
    <w:pPr>
      <w:pBdr>
        <w:bottom w:val="single" w:sz="4" w:space="0" w:color="auto"/>
      </w:pBdr>
      <w:spacing w:before="100" w:after="100"/>
    </w:pPr>
    <w:rPr>
      <w:rFonts w:ascii="Arial" w:eastAsia="Arial Unicode MS" w:hAnsi="Arial" w:cs="Times New Roman"/>
      <w:sz w:val="16"/>
      <w:szCs w:val="24"/>
    </w:rPr>
  </w:style>
  <w:style w:type="paragraph" w:customStyle="1" w:styleId="xl108">
    <w:name w:val="xl108"/>
    <w:basedOn w:val="Normal"/>
    <w:rsid w:val="004A15FA"/>
    <w:pPr>
      <w:spacing w:before="100" w:after="100"/>
    </w:pPr>
    <w:rPr>
      <w:rFonts w:ascii="Arial" w:eastAsia="Arial Unicode MS" w:hAnsi="Arial" w:cs="Times New Roman"/>
      <w:sz w:val="16"/>
      <w:szCs w:val="24"/>
    </w:rPr>
  </w:style>
  <w:style w:type="paragraph" w:customStyle="1" w:styleId="xl109">
    <w:name w:val="xl109"/>
    <w:basedOn w:val="Normal"/>
    <w:rsid w:val="004A15FA"/>
    <w:pPr>
      <w:pBdr>
        <w:right w:val="single" w:sz="12" w:space="0" w:color="auto"/>
      </w:pBdr>
      <w:spacing w:before="100" w:after="100"/>
    </w:pPr>
    <w:rPr>
      <w:rFonts w:ascii="Arial" w:eastAsia="Arial Unicode MS" w:hAnsi="Arial" w:cs="Times New Roman"/>
      <w:sz w:val="16"/>
      <w:szCs w:val="24"/>
    </w:rPr>
  </w:style>
  <w:style w:type="paragraph" w:customStyle="1" w:styleId="xl110">
    <w:name w:val="xl110"/>
    <w:basedOn w:val="Normal"/>
    <w:rsid w:val="004A15FA"/>
    <w:pPr>
      <w:pBdr>
        <w:top w:val="single" w:sz="4" w:space="0" w:color="auto"/>
        <w:left w:val="single" w:sz="12" w:space="0" w:color="auto"/>
        <w:bottom w:val="single" w:sz="4" w:space="0" w:color="auto"/>
      </w:pBdr>
      <w:spacing w:before="100" w:after="100"/>
    </w:pPr>
    <w:rPr>
      <w:rFonts w:ascii="Arial" w:eastAsia="Arial Unicode MS" w:hAnsi="Arial" w:cs="Times New Roman"/>
      <w:color w:val="008000"/>
      <w:sz w:val="16"/>
      <w:szCs w:val="24"/>
    </w:rPr>
  </w:style>
  <w:style w:type="paragraph" w:customStyle="1" w:styleId="xl111">
    <w:name w:val="xl111"/>
    <w:basedOn w:val="Normal"/>
    <w:rsid w:val="004A15FA"/>
    <w:pPr>
      <w:pBdr>
        <w:top w:val="single" w:sz="12" w:space="0" w:color="auto"/>
        <w:left w:val="single" w:sz="12" w:space="0" w:color="auto"/>
        <w:bottom w:val="single" w:sz="12" w:space="0" w:color="auto"/>
      </w:pBdr>
      <w:spacing w:before="100" w:after="100"/>
      <w:jc w:val="center"/>
    </w:pPr>
    <w:rPr>
      <w:rFonts w:ascii="Arial" w:eastAsia="Arial Unicode MS" w:hAnsi="Arial" w:cs="Times New Roman"/>
      <w:b/>
      <w:sz w:val="16"/>
      <w:szCs w:val="24"/>
    </w:rPr>
  </w:style>
  <w:style w:type="paragraph" w:customStyle="1" w:styleId="xl112">
    <w:name w:val="xl112"/>
    <w:basedOn w:val="Normal"/>
    <w:rsid w:val="004A15FA"/>
    <w:pPr>
      <w:pBdr>
        <w:top w:val="single" w:sz="12" w:space="0" w:color="auto"/>
        <w:bottom w:val="single" w:sz="12" w:space="0" w:color="auto"/>
      </w:pBdr>
      <w:spacing w:before="100" w:after="100"/>
      <w:jc w:val="center"/>
    </w:pPr>
    <w:rPr>
      <w:rFonts w:ascii="Arial Unicode MS" w:eastAsia="Arial Unicode MS" w:hAnsi="Arial Unicode MS" w:cs="Times New Roman"/>
      <w:szCs w:val="24"/>
    </w:rPr>
  </w:style>
  <w:style w:type="paragraph" w:customStyle="1" w:styleId="xl113">
    <w:name w:val="xl113"/>
    <w:basedOn w:val="Normal"/>
    <w:rsid w:val="004A15FA"/>
    <w:pPr>
      <w:pBdr>
        <w:top w:val="single" w:sz="12" w:space="0" w:color="auto"/>
        <w:bottom w:val="single" w:sz="12" w:space="0" w:color="auto"/>
        <w:right w:val="single" w:sz="12" w:space="0" w:color="auto"/>
      </w:pBdr>
      <w:spacing w:before="100" w:after="100"/>
      <w:jc w:val="center"/>
    </w:pPr>
    <w:rPr>
      <w:rFonts w:ascii="Arial Unicode MS" w:eastAsia="Arial Unicode MS" w:hAnsi="Arial Unicode MS" w:cs="Times New Roman"/>
      <w:szCs w:val="24"/>
    </w:rPr>
  </w:style>
  <w:style w:type="paragraph" w:customStyle="1" w:styleId="xl114">
    <w:name w:val="xl114"/>
    <w:basedOn w:val="Normal"/>
    <w:rsid w:val="004A15FA"/>
    <w:pPr>
      <w:pBdr>
        <w:top w:val="single" w:sz="12" w:space="0" w:color="auto"/>
        <w:left w:val="single" w:sz="12" w:space="0" w:color="auto"/>
        <w:bottom w:val="single" w:sz="4" w:space="0" w:color="auto"/>
      </w:pBdr>
      <w:spacing w:before="100" w:after="100"/>
    </w:pPr>
    <w:rPr>
      <w:rFonts w:ascii="Arial" w:eastAsia="Arial Unicode MS" w:hAnsi="Arial" w:cs="Times New Roman"/>
      <w:b/>
      <w:color w:val="000080"/>
      <w:sz w:val="16"/>
      <w:szCs w:val="24"/>
    </w:rPr>
  </w:style>
  <w:style w:type="paragraph" w:customStyle="1" w:styleId="xl115">
    <w:name w:val="xl115"/>
    <w:basedOn w:val="Normal"/>
    <w:rsid w:val="004A15FA"/>
    <w:pPr>
      <w:pBdr>
        <w:top w:val="single" w:sz="12" w:space="0" w:color="auto"/>
        <w:bottom w:val="single" w:sz="4" w:space="0" w:color="auto"/>
      </w:pBdr>
      <w:spacing w:before="100" w:after="100"/>
    </w:pPr>
    <w:rPr>
      <w:rFonts w:ascii="Arial Unicode MS" w:eastAsia="Arial Unicode MS" w:hAnsi="Arial Unicode MS" w:cs="Times New Roman"/>
      <w:szCs w:val="24"/>
    </w:rPr>
  </w:style>
  <w:style w:type="paragraph" w:customStyle="1" w:styleId="xl116">
    <w:name w:val="xl116"/>
    <w:basedOn w:val="Normal"/>
    <w:rsid w:val="004A15FA"/>
    <w:pPr>
      <w:pBdr>
        <w:top w:val="single" w:sz="12" w:space="0" w:color="auto"/>
      </w:pBdr>
      <w:spacing w:before="100" w:after="100"/>
    </w:pPr>
    <w:rPr>
      <w:rFonts w:ascii="Arial Unicode MS" w:eastAsia="Arial Unicode MS" w:hAnsi="Arial Unicode MS" w:cs="Times New Roman"/>
      <w:szCs w:val="24"/>
    </w:rPr>
  </w:style>
  <w:style w:type="paragraph" w:customStyle="1" w:styleId="xl117">
    <w:name w:val="xl117"/>
    <w:basedOn w:val="Normal"/>
    <w:rsid w:val="004A15FA"/>
    <w:pPr>
      <w:pBdr>
        <w:top w:val="single" w:sz="12" w:space="0" w:color="auto"/>
      </w:pBdr>
      <w:spacing w:before="100" w:after="100"/>
    </w:pPr>
    <w:rPr>
      <w:rFonts w:ascii="Arial Unicode MS" w:eastAsia="Arial Unicode MS" w:hAnsi="Arial Unicode MS" w:cs="Times New Roman"/>
      <w:szCs w:val="24"/>
    </w:rPr>
  </w:style>
  <w:style w:type="paragraph" w:customStyle="1" w:styleId="xl118">
    <w:name w:val="xl118"/>
    <w:basedOn w:val="Normal"/>
    <w:rsid w:val="004A15FA"/>
    <w:pPr>
      <w:pBdr>
        <w:top w:val="single" w:sz="12" w:space="0" w:color="auto"/>
        <w:right w:val="single" w:sz="12" w:space="0" w:color="auto"/>
      </w:pBdr>
      <w:spacing w:before="100" w:after="100"/>
    </w:pPr>
    <w:rPr>
      <w:rFonts w:ascii="Arial Unicode MS" w:eastAsia="Arial Unicode MS" w:hAnsi="Arial Unicode MS" w:cs="Times New Roman"/>
      <w:szCs w:val="24"/>
    </w:rPr>
  </w:style>
  <w:style w:type="paragraph" w:customStyle="1" w:styleId="xl119">
    <w:name w:val="xl119"/>
    <w:basedOn w:val="Normal"/>
    <w:rsid w:val="004A15FA"/>
    <w:pPr>
      <w:pBdr>
        <w:top w:val="single" w:sz="12" w:space="0" w:color="auto"/>
        <w:left w:val="single" w:sz="12" w:space="0" w:color="auto"/>
        <w:right w:val="single" w:sz="12" w:space="0" w:color="auto"/>
      </w:pBdr>
      <w:shd w:val="clear" w:color="auto" w:fill="FFFF00"/>
      <w:spacing w:before="100" w:after="100"/>
    </w:pPr>
    <w:rPr>
      <w:rFonts w:ascii="Arial" w:eastAsia="Arial Unicode MS" w:hAnsi="Arial" w:cs="Times New Roman"/>
      <w:b/>
      <w:szCs w:val="24"/>
    </w:rPr>
  </w:style>
  <w:style w:type="paragraph" w:customStyle="1" w:styleId="xl120">
    <w:name w:val="xl120"/>
    <w:basedOn w:val="Normal"/>
    <w:rsid w:val="004A15FA"/>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1">
    <w:name w:val="xl121"/>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2">
    <w:name w:val="xl122"/>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3">
    <w:name w:val="xl123"/>
    <w:basedOn w:val="Normal"/>
    <w:rsid w:val="004A15FA"/>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4">
    <w:name w:val="xl124"/>
    <w:basedOn w:val="Normal"/>
    <w:rsid w:val="004A15FA"/>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s="Times New Roman"/>
      <w:color w:val="000080"/>
      <w:szCs w:val="24"/>
    </w:rPr>
  </w:style>
  <w:style w:type="paragraph" w:customStyle="1" w:styleId="xl125">
    <w:name w:val="xl125"/>
    <w:basedOn w:val="Normal"/>
    <w:rsid w:val="004A15FA"/>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26">
    <w:name w:val="xl126"/>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27">
    <w:name w:val="xl127"/>
    <w:basedOn w:val="Normal"/>
    <w:rsid w:val="004A15FA"/>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28">
    <w:name w:val="xl128"/>
    <w:basedOn w:val="Normal"/>
    <w:rsid w:val="004A15FA"/>
    <w:pPr>
      <w:pBdr>
        <w:top w:val="single" w:sz="8" w:space="0" w:color="auto"/>
        <w:left w:val="single" w:sz="8" w:space="0" w:color="auto"/>
        <w:bottom w:val="single" w:sz="4"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29">
    <w:name w:val="xl129"/>
    <w:basedOn w:val="Normal"/>
    <w:rsid w:val="004A15FA"/>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s="Times New Roman"/>
      <w:color w:val="008000"/>
      <w:szCs w:val="24"/>
    </w:rPr>
  </w:style>
  <w:style w:type="paragraph" w:customStyle="1" w:styleId="xl130">
    <w:name w:val="xl130"/>
    <w:basedOn w:val="Normal"/>
    <w:rsid w:val="004A15FA"/>
    <w:pPr>
      <w:pBdr>
        <w:top w:val="single" w:sz="4"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1">
    <w:name w:val="xl131"/>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2">
    <w:name w:val="xl132"/>
    <w:basedOn w:val="Normal"/>
    <w:rsid w:val="004A15FA"/>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3">
    <w:name w:val="xl133"/>
    <w:basedOn w:val="Normal"/>
    <w:rsid w:val="004A15FA"/>
    <w:pPr>
      <w:pBdr>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4">
    <w:name w:val="xl134"/>
    <w:basedOn w:val="Normal"/>
    <w:rsid w:val="004A15FA"/>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s="Times New Roman"/>
      <w:color w:val="800080"/>
      <w:szCs w:val="24"/>
    </w:rPr>
  </w:style>
  <w:style w:type="paragraph" w:customStyle="1" w:styleId="xl135">
    <w:name w:val="xl135"/>
    <w:basedOn w:val="Normal"/>
    <w:rsid w:val="004A15FA"/>
    <w:pPr>
      <w:pBdr>
        <w:top w:val="single" w:sz="12" w:space="0" w:color="auto"/>
        <w:left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36">
    <w:name w:val="xl136"/>
    <w:basedOn w:val="Normal"/>
    <w:rsid w:val="004A15FA"/>
    <w:pPr>
      <w:pBdr>
        <w:top w:val="single" w:sz="12" w:space="0" w:color="auto"/>
        <w:right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37">
    <w:name w:val="xl137"/>
    <w:basedOn w:val="Normal"/>
    <w:rsid w:val="004A15FA"/>
    <w:pPr>
      <w:pBdr>
        <w:top w:val="single" w:sz="12" w:space="0" w:color="auto"/>
      </w:pBdr>
      <w:spacing w:before="100" w:after="100"/>
      <w:jc w:val="center"/>
    </w:pPr>
    <w:rPr>
      <w:rFonts w:ascii="Arial" w:eastAsia="Arial Unicode MS" w:hAnsi="Arial" w:cs="Times New Roman"/>
      <w:szCs w:val="24"/>
    </w:rPr>
  </w:style>
  <w:style w:type="paragraph" w:customStyle="1" w:styleId="xl138">
    <w:name w:val="xl138"/>
    <w:basedOn w:val="Normal"/>
    <w:rsid w:val="004A15FA"/>
    <w:pPr>
      <w:pBdr>
        <w:top w:val="single" w:sz="12" w:space="0" w:color="auto"/>
        <w:right w:val="single" w:sz="12" w:space="0" w:color="auto"/>
      </w:pBdr>
      <w:spacing w:before="100" w:after="100"/>
      <w:jc w:val="center"/>
    </w:pPr>
    <w:rPr>
      <w:rFonts w:ascii="Arial" w:eastAsia="Arial Unicode MS" w:hAnsi="Arial" w:cs="Times New Roman"/>
      <w:szCs w:val="24"/>
    </w:rPr>
  </w:style>
  <w:style w:type="paragraph" w:customStyle="1" w:styleId="xl139">
    <w:name w:val="xl139"/>
    <w:basedOn w:val="Normal"/>
    <w:rsid w:val="004A15FA"/>
    <w:pPr>
      <w:pBdr>
        <w:top w:val="single" w:sz="12"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cs="Times New Roman"/>
      <w:b/>
      <w:szCs w:val="24"/>
    </w:rPr>
  </w:style>
  <w:style w:type="paragraph" w:customStyle="1" w:styleId="xl140">
    <w:name w:val="xl140"/>
    <w:basedOn w:val="Normal"/>
    <w:rsid w:val="004A15FA"/>
    <w:pPr>
      <w:pBdr>
        <w:top w:val="single" w:sz="12"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41">
    <w:name w:val="xl141"/>
    <w:basedOn w:val="Normal"/>
    <w:rsid w:val="004A15FA"/>
    <w:pPr>
      <w:pBdr>
        <w:top w:val="single" w:sz="12" w:space="0" w:color="auto"/>
        <w:left w:val="single" w:sz="12" w:space="0" w:color="auto"/>
        <w:bottom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42">
    <w:name w:val="xl142"/>
    <w:basedOn w:val="Normal"/>
    <w:rsid w:val="004A15FA"/>
    <w:pPr>
      <w:pBdr>
        <w:top w:val="single" w:sz="12" w:space="0" w:color="auto"/>
        <w:bottom w:val="single" w:sz="12" w:space="0" w:color="auto"/>
        <w:right w:val="single" w:sz="4" w:space="0" w:color="auto"/>
      </w:pBdr>
      <w:spacing w:before="100" w:after="100"/>
      <w:jc w:val="center"/>
    </w:pPr>
    <w:rPr>
      <w:rFonts w:ascii="Arial" w:eastAsia="Arial Unicode MS" w:hAnsi="Arial" w:cs="Times New Roman"/>
      <w:szCs w:val="24"/>
    </w:rPr>
  </w:style>
  <w:style w:type="paragraph" w:customStyle="1" w:styleId="xl143">
    <w:name w:val="xl143"/>
    <w:basedOn w:val="Normal"/>
    <w:rsid w:val="004A15FA"/>
    <w:pPr>
      <w:pBdr>
        <w:top w:val="single" w:sz="12" w:space="0" w:color="auto"/>
        <w:left w:val="single" w:sz="4" w:space="0" w:color="auto"/>
        <w:bottom w:val="single" w:sz="12" w:space="0" w:color="auto"/>
      </w:pBdr>
      <w:shd w:val="clear" w:color="auto" w:fill="FFFF00"/>
      <w:spacing w:before="100" w:after="100"/>
      <w:jc w:val="center"/>
    </w:pPr>
    <w:rPr>
      <w:rFonts w:ascii="Arial" w:eastAsia="Arial Unicode MS" w:hAnsi="Arial" w:cs="Times New Roman"/>
      <w:b/>
      <w:szCs w:val="24"/>
    </w:rPr>
  </w:style>
  <w:style w:type="paragraph" w:customStyle="1" w:styleId="xl144">
    <w:name w:val="xl144"/>
    <w:basedOn w:val="Normal"/>
    <w:rsid w:val="004A15FA"/>
    <w:pPr>
      <w:pBdr>
        <w:top w:val="single" w:sz="4" w:space="0" w:color="auto"/>
        <w:left w:val="single" w:sz="12" w:space="0" w:color="auto"/>
        <w:right w:val="single" w:sz="12" w:space="0" w:color="auto"/>
      </w:pBdr>
      <w:shd w:val="clear" w:color="auto" w:fill="FFFF00"/>
      <w:spacing w:before="100" w:after="100"/>
    </w:pPr>
    <w:rPr>
      <w:rFonts w:ascii="Arial" w:eastAsia="Arial Unicode MS" w:hAnsi="Arial" w:cs="Times New Roman"/>
      <w:color w:val="FF00FF"/>
      <w:sz w:val="22"/>
      <w:szCs w:val="24"/>
    </w:rPr>
  </w:style>
  <w:style w:type="paragraph" w:customStyle="1" w:styleId="xl145">
    <w:name w:val="xl145"/>
    <w:basedOn w:val="Normal"/>
    <w:rsid w:val="004A15FA"/>
    <w:pPr>
      <w:pBdr>
        <w:top w:val="single" w:sz="4" w:space="0" w:color="auto"/>
        <w:left w:val="single" w:sz="12" w:space="0" w:color="auto"/>
        <w:bottom w:val="single" w:sz="8" w:space="0" w:color="auto"/>
        <w:right w:val="single" w:sz="12" w:space="0" w:color="auto"/>
      </w:pBdr>
      <w:shd w:val="clear" w:color="auto" w:fill="FFFF00"/>
      <w:spacing w:before="100" w:after="100"/>
    </w:pPr>
    <w:rPr>
      <w:rFonts w:ascii="Arial" w:eastAsia="Arial Unicode MS" w:hAnsi="Arial" w:cs="Times New Roman"/>
      <w:color w:val="800080"/>
      <w:sz w:val="22"/>
      <w:szCs w:val="24"/>
    </w:rPr>
  </w:style>
  <w:style w:type="paragraph" w:customStyle="1" w:styleId="xl146">
    <w:name w:val="xl146"/>
    <w:basedOn w:val="Normal"/>
    <w:rsid w:val="004A15FA"/>
    <w:pPr>
      <w:pBdr>
        <w:top w:val="single" w:sz="8" w:space="0" w:color="auto"/>
        <w:left w:val="single" w:sz="12" w:space="0" w:color="auto"/>
        <w:bottom w:val="single" w:sz="4" w:space="0" w:color="auto"/>
        <w:right w:val="single" w:sz="12" w:space="0" w:color="auto"/>
      </w:pBdr>
      <w:shd w:val="clear" w:color="auto" w:fill="FFFF00"/>
      <w:spacing w:before="100" w:after="100"/>
    </w:pPr>
    <w:rPr>
      <w:rFonts w:ascii="Arial" w:eastAsia="Arial Unicode MS" w:hAnsi="Arial" w:cs="Times New Roman"/>
      <w:color w:val="FF00FF"/>
      <w:sz w:val="22"/>
      <w:szCs w:val="24"/>
    </w:rPr>
  </w:style>
  <w:style w:type="paragraph" w:customStyle="1" w:styleId="xl147">
    <w:name w:val="xl147"/>
    <w:basedOn w:val="Normal"/>
    <w:rsid w:val="004A15FA"/>
    <w:pPr>
      <w:pBdr>
        <w:top w:val="single" w:sz="4" w:space="0" w:color="auto"/>
        <w:left w:val="single" w:sz="12" w:space="0" w:color="auto"/>
        <w:bottom w:val="single" w:sz="12" w:space="0" w:color="auto"/>
        <w:right w:val="single" w:sz="12" w:space="0" w:color="auto"/>
      </w:pBdr>
      <w:shd w:val="clear" w:color="auto" w:fill="FFFF00"/>
      <w:spacing w:before="100" w:after="100"/>
    </w:pPr>
    <w:rPr>
      <w:rFonts w:ascii="Arial" w:eastAsia="Arial Unicode MS" w:hAnsi="Arial" w:cs="Times New Roman"/>
      <w:color w:val="800080"/>
      <w:sz w:val="22"/>
      <w:szCs w:val="24"/>
    </w:rPr>
  </w:style>
  <w:style w:type="paragraph" w:customStyle="1" w:styleId="xl148">
    <w:name w:val="xl148"/>
    <w:basedOn w:val="Normal"/>
    <w:rsid w:val="004A15FA"/>
    <w:pPr>
      <w:pBdr>
        <w:top w:val="single" w:sz="12" w:space="0" w:color="auto"/>
        <w:left w:val="single" w:sz="12" w:space="0" w:color="auto"/>
        <w:bottom w:val="single" w:sz="8"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49">
    <w:name w:val="xl149"/>
    <w:basedOn w:val="Normal"/>
    <w:rsid w:val="004A15FA"/>
    <w:pPr>
      <w:pBdr>
        <w:top w:val="single" w:sz="12" w:space="0" w:color="auto"/>
        <w:bottom w:val="single" w:sz="8" w:space="0" w:color="auto"/>
        <w:right w:val="single" w:sz="12"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0">
    <w:name w:val="xl150"/>
    <w:basedOn w:val="Normal"/>
    <w:rsid w:val="004A15FA"/>
    <w:pPr>
      <w:pBdr>
        <w:top w:val="single" w:sz="12" w:space="0" w:color="auto"/>
        <w:bottom w:val="single" w:sz="8" w:space="0" w:color="auto"/>
      </w:pBdr>
      <w:spacing w:before="100" w:after="100"/>
      <w:jc w:val="center"/>
    </w:pPr>
    <w:rPr>
      <w:rFonts w:ascii="Arial" w:eastAsia="Arial Unicode MS" w:hAnsi="Arial" w:cs="Times New Roman"/>
      <w:sz w:val="22"/>
      <w:szCs w:val="24"/>
    </w:rPr>
  </w:style>
  <w:style w:type="paragraph" w:customStyle="1" w:styleId="xl151">
    <w:name w:val="xl151"/>
    <w:basedOn w:val="Normal"/>
    <w:rsid w:val="004A15FA"/>
    <w:pPr>
      <w:pBdr>
        <w:top w:val="single" w:sz="12" w:space="0" w:color="auto"/>
        <w:bottom w:val="single" w:sz="8" w:space="0" w:color="auto"/>
        <w:right w:val="single" w:sz="12" w:space="0" w:color="auto"/>
      </w:pBdr>
      <w:spacing w:before="100" w:after="100"/>
      <w:jc w:val="center"/>
    </w:pPr>
    <w:rPr>
      <w:rFonts w:ascii="Arial" w:eastAsia="Arial Unicode MS" w:hAnsi="Arial" w:cs="Times New Roman"/>
      <w:sz w:val="22"/>
      <w:szCs w:val="24"/>
    </w:rPr>
  </w:style>
  <w:style w:type="paragraph" w:customStyle="1" w:styleId="xl152">
    <w:name w:val="xl152"/>
    <w:basedOn w:val="Normal"/>
    <w:rsid w:val="004A15FA"/>
    <w:pPr>
      <w:pBdr>
        <w:top w:val="single" w:sz="12" w:space="0" w:color="auto"/>
        <w:bottom w:val="single" w:sz="8" w:space="0" w:color="auto"/>
      </w:pBdr>
      <w:spacing w:before="100" w:after="100"/>
    </w:pPr>
    <w:rPr>
      <w:rFonts w:ascii="Arial" w:eastAsia="Arial Unicode MS" w:hAnsi="Arial" w:cs="Times New Roman"/>
      <w:sz w:val="22"/>
      <w:szCs w:val="24"/>
    </w:rPr>
  </w:style>
  <w:style w:type="paragraph" w:customStyle="1" w:styleId="xl153">
    <w:name w:val="xl153"/>
    <w:basedOn w:val="Normal"/>
    <w:rsid w:val="004A15FA"/>
    <w:pPr>
      <w:pBdr>
        <w:top w:val="single" w:sz="12" w:space="0" w:color="auto"/>
        <w:bottom w:val="single" w:sz="8" w:space="0" w:color="auto"/>
        <w:right w:val="single" w:sz="12" w:space="0" w:color="auto"/>
      </w:pBdr>
      <w:spacing w:before="100" w:after="100"/>
    </w:pPr>
    <w:rPr>
      <w:rFonts w:ascii="Arial" w:eastAsia="Arial Unicode MS" w:hAnsi="Arial" w:cs="Times New Roman"/>
      <w:sz w:val="22"/>
      <w:szCs w:val="24"/>
    </w:rPr>
  </w:style>
  <w:style w:type="paragraph" w:customStyle="1" w:styleId="xl154">
    <w:name w:val="xl154"/>
    <w:basedOn w:val="Normal"/>
    <w:rsid w:val="004A15FA"/>
    <w:pPr>
      <w:pBdr>
        <w:top w:val="single" w:sz="8" w:space="0" w:color="auto"/>
        <w:left w:val="single" w:sz="12" w:space="0" w:color="auto"/>
        <w:bottom w:val="single" w:sz="12" w:space="0" w:color="auto"/>
        <w:right w:val="single" w:sz="4"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5">
    <w:name w:val="xl155"/>
    <w:basedOn w:val="Normal"/>
    <w:rsid w:val="004A15FA"/>
    <w:pPr>
      <w:pBdr>
        <w:top w:val="single" w:sz="8" w:space="0" w:color="auto"/>
        <w:left w:val="single" w:sz="4" w:space="0" w:color="auto"/>
        <w:bottom w:val="single" w:sz="12" w:space="0" w:color="auto"/>
        <w:right w:val="single" w:sz="12"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6">
    <w:name w:val="xl156"/>
    <w:basedOn w:val="Normal"/>
    <w:rsid w:val="004A15FA"/>
    <w:pPr>
      <w:pBdr>
        <w:top w:val="single" w:sz="8" w:space="0" w:color="auto"/>
        <w:left w:val="single" w:sz="12" w:space="0" w:color="auto"/>
        <w:bottom w:val="single" w:sz="12"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7">
    <w:name w:val="xl157"/>
    <w:basedOn w:val="Normal"/>
    <w:rsid w:val="004A15FA"/>
    <w:pPr>
      <w:pBdr>
        <w:top w:val="single" w:sz="8" w:space="0" w:color="auto"/>
        <w:bottom w:val="single" w:sz="12" w:space="0" w:color="auto"/>
        <w:right w:val="single" w:sz="4" w:space="0" w:color="auto"/>
      </w:pBdr>
      <w:spacing w:before="100" w:after="100"/>
      <w:jc w:val="center"/>
    </w:pPr>
    <w:rPr>
      <w:rFonts w:ascii="Arial" w:eastAsia="Arial Unicode MS" w:hAnsi="Arial" w:cs="Times New Roman"/>
      <w:sz w:val="22"/>
      <w:szCs w:val="24"/>
    </w:rPr>
  </w:style>
  <w:style w:type="paragraph" w:customStyle="1" w:styleId="xl158">
    <w:name w:val="xl158"/>
    <w:basedOn w:val="Normal"/>
    <w:rsid w:val="004A15FA"/>
    <w:pPr>
      <w:pBdr>
        <w:top w:val="single" w:sz="8" w:space="0" w:color="auto"/>
        <w:left w:val="single" w:sz="4" w:space="0" w:color="auto"/>
        <w:bottom w:val="single" w:sz="12" w:space="0" w:color="auto"/>
      </w:pBdr>
      <w:shd w:val="clear" w:color="auto" w:fill="FFFF00"/>
      <w:spacing w:before="100" w:after="100"/>
      <w:jc w:val="center"/>
    </w:pPr>
    <w:rPr>
      <w:rFonts w:ascii="Arial" w:eastAsia="Arial Unicode MS" w:hAnsi="Arial" w:cs="Times New Roman"/>
      <w:b/>
      <w:sz w:val="22"/>
      <w:szCs w:val="24"/>
    </w:rPr>
  </w:style>
  <w:style w:type="paragraph" w:customStyle="1" w:styleId="xl159">
    <w:name w:val="xl159"/>
    <w:basedOn w:val="Normal"/>
    <w:rsid w:val="004A15FA"/>
    <w:pPr>
      <w:pBdr>
        <w:top w:val="single" w:sz="8" w:space="0" w:color="auto"/>
        <w:bottom w:val="single" w:sz="12" w:space="0" w:color="auto"/>
        <w:right w:val="single" w:sz="12" w:space="0" w:color="auto"/>
      </w:pBdr>
      <w:spacing w:before="100" w:after="100"/>
      <w:jc w:val="center"/>
    </w:pPr>
    <w:rPr>
      <w:rFonts w:ascii="Arial" w:eastAsia="Arial Unicode MS" w:hAnsi="Arial" w:cs="Times New Roman"/>
      <w:sz w:val="22"/>
      <w:szCs w:val="24"/>
    </w:rPr>
  </w:style>
  <w:style w:type="character" w:customStyle="1" w:styleId="CharChar1">
    <w:name w:val="Char Char1"/>
    <w:rsid w:val="004A15FA"/>
    <w:rPr>
      <w:rFonts w:eastAsia="Times"/>
      <w:bCs/>
      <w:i/>
      <w:sz w:val="24"/>
      <w:szCs w:val="28"/>
      <w:lang w:val="en-US" w:eastAsia="en-US" w:bidi="ar-SA"/>
    </w:rPr>
  </w:style>
  <w:style w:type="paragraph" w:customStyle="1" w:styleId="keyheaders">
    <w:name w:val="keyheaders"/>
    <w:basedOn w:val="Normal"/>
    <w:rsid w:val="004A15FA"/>
    <w:pPr>
      <w:spacing w:before="100" w:beforeAutospacing="1" w:after="100" w:afterAutospacing="1"/>
    </w:pPr>
    <w:rPr>
      <w:rFonts w:eastAsia="Times New Roman" w:cs="Times New Roman"/>
      <w:szCs w:val="24"/>
    </w:rPr>
  </w:style>
  <w:style w:type="character" w:customStyle="1" w:styleId="style11">
    <w:name w:val="style11"/>
    <w:rsid w:val="004A15FA"/>
    <w:rPr>
      <w:rFonts w:ascii="Arial Narrow" w:hAnsi="Arial Narrow" w:hint="default"/>
    </w:rPr>
  </w:style>
  <w:style w:type="paragraph" w:customStyle="1" w:styleId="homepagetext">
    <w:name w:val="homepagetext"/>
    <w:basedOn w:val="Normal"/>
    <w:rsid w:val="004A15FA"/>
    <w:pPr>
      <w:spacing w:before="100" w:beforeAutospacing="1" w:after="100" w:afterAutospacing="1"/>
    </w:pPr>
    <w:rPr>
      <w:rFonts w:ascii="Arial" w:eastAsia="Times New Roman" w:hAnsi="Arial" w:cs="Arial"/>
      <w:color w:val="CCCCCC"/>
      <w:sz w:val="18"/>
      <w:szCs w:val="18"/>
    </w:rPr>
  </w:style>
  <w:style w:type="paragraph" w:customStyle="1" w:styleId="CM8">
    <w:name w:val="CM8"/>
    <w:basedOn w:val="Default"/>
    <w:next w:val="Default"/>
    <w:rsid w:val="004A15FA"/>
    <w:pPr>
      <w:spacing w:line="228" w:lineRule="atLeast"/>
    </w:pPr>
    <w:rPr>
      <w:rFonts w:ascii="Arial" w:hAnsi="Arial"/>
      <w:color w:val="auto"/>
    </w:rPr>
  </w:style>
  <w:style w:type="paragraph" w:customStyle="1" w:styleId="CM4">
    <w:name w:val="CM4"/>
    <w:basedOn w:val="Default"/>
    <w:next w:val="Default"/>
    <w:rsid w:val="004A15FA"/>
    <w:pPr>
      <w:spacing w:line="228" w:lineRule="atLeast"/>
    </w:pPr>
    <w:rPr>
      <w:rFonts w:ascii="Arial" w:hAnsi="Arial"/>
      <w:color w:val="auto"/>
    </w:rPr>
  </w:style>
  <w:style w:type="paragraph" w:customStyle="1" w:styleId="CM110">
    <w:name w:val="CM110"/>
    <w:basedOn w:val="Default"/>
    <w:next w:val="Default"/>
    <w:rsid w:val="004A15FA"/>
    <w:pPr>
      <w:spacing w:line="228" w:lineRule="atLeast"/>
    </w:pPr>
    <w:rPr>
      <w:rFonts w:ascii="Arial" w:hAnsi="Arial"/>
      <w:color w:val="auto"/>
    </w:rPr>
  </w:style>
  <w:style w:type="paragraph" w:customStyle="1" w:styleId="CM74">
    <w:name w:val="CM74"/>
    <w:basedOn w:val="Default"/>
    <w:next w:val="Default"/>
    <w:rsid w:val="004A15FA"/>
    <w:pPr>
      <w:spacing w:line="228" w:lineRule="atLeast"/>
    </w:pPr>
    <w:rPr>
      <w:rFonts w:ascii="Arial" w:hAnsi="Arial"/>
      <w:color w:val="auto"/>
    </w:rPr>
  </w:style>
  <w:style w:type="paragraph" w:customStyle="1" w:styleId="CM85">
    <w:name w:val="CM85"/>
    <w:basedOn w:val="Default"/>
    <w:next w:val="Default"/>
    <w:rsid w:val="004A15FA"/>
    <w:pPr>
      <w:spacing w:line="228" w:lineRule="atLeast"/>
    </w:pPr>
    <w:rPr>
      <w:rFonts w:ascii="Arial" w:hAnsi="Arial"/>
      <w:color w:val="auto"/>
    </w:rPr>
  </w:style>
  <w:style w:type="paragraph" w:customStyle="1" w:styleId="CM105">
    <w:name w:val="CM105"/>
    <w:basedOn w:val="Default"/>
    <w:next w:val="Default"/>
    <w:rsid w:val="004A15FA"/>
    <w:pPr>
      <w:spacing w:line="228" w:lineRule="atLeast"/>
    </w:pPr>
    <w:rPr>
      <w:rFonts w:ascii="Arial" w:hAnsi="Arial"/>
      <w:color w:val="auto"/>
    </w:rPr>
  </w:style>
  <w:style w:type="paragraph" w:styleId="z-TopofForm">
    <w:name w:val="HTML Top of Form"/>
    <w:basedOn w:val="Normal"/>
    <w:next w:val="Normal"/>
    <w:link w:val="z-TopofFormChar"/>
    <w:hidden/>
    <w:rsid w:val="004A15FA"/>
    <w:pPr>
      <w:pBdr>
        <w:bottom w:val="single" w:sz="6" w:space="1" w:color="auto"/>
      </w:pBdr>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rsid w:val="004A15FA"/>
    <w:rPr>
      <w:rFonts w:ascii="Arial" w:eastAsia="Times New Roman" w:hAnsi="Arial" w:cs="Times New Roman"/>
      <w:vanish/>
      <w:sz w:val="16"/>
      <w:szCs w:val="16"/>
    </w:rPr>
  </w:style>
  <w:style w:type="paragraph" w:styleId="z-BottomofForm">
    <w:name w:val="HTML Bottom of Form"/>
    <w:basedOn w:val="Normal"/>
    <w:next w:val="Normal"/>
    <w:link w:val="z-BottomofFormChar"/>
    <w:hidden/>
    <w:rsid w:val="004A15FA"/>
    <w:pPr>
      <w:pBdr>
        <w:top w:val="single" w:sz="6" w:space="1" w:color="auto"/>
      </w:pBdr>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rsid w:val="004A15FA"/>
    <w:rPr>
      <w:rFonts w:ascii="Arial" w:eastAsia="Times New Roman" w:hAnsi="Arial" w:cs="Times New Roman"/>
      <w:vanish/>
      <w:sz w:val="16"/>
      <w:szCs w:val="16"/>
    </w:rPr>
  </w:style>
  <w:style w:type="paragraph" w:customStyle="1" w:styleId="xl22">
    <w:name w:val="xl22"/>
    <w:basedOn w:val="Normal"/>
    <w:rsid w:val="004A15FA"/>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styleId="ListBullet4">
    <w:name w:val="List Bullet 4"/>
    <w:basedOn w:val="Normal"/>
    <w:autoRedefine/>
    <w:rsid w:val="004A15FA"/>
    <w:pPr>
      <w:tabs>
        <w:tab w:val="num" w:pos="1440"/>
      </w:tabs>
      <w:ind w:left="1440" w:hanging="360"/>
    </w:pPr>
    <w:rPr>
      <w:rFonts w:eastAsia="Times New Roman" w:cs="Times New Roman"/>
      <w:szCs w:val="24"/>
    </w:rPr>
  </w:style>
  <w:style w:type="paragraph" w:styleId="HTMLPreformatted">
    <w:name w:val="HTML Preformatted"/>
    <w:basedOn w:val="Normal"/>
    <w:link w:val="HTMLPreformattedChar"/>
    <w:uiPriority w:val="99"/>
    <w:rsid w:val="004A1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color w:val="000000"/>
      <w:sz w:val="20"/>
      <w:szCs w:val="20"/>
    </w:rPr>
  </w:style>
  <w:style w:type="character" w:customStyle="1" w:styleId="HTMLPreformattedChar">
    <w:name w:val="HTML Preformatted Char"/>
    <w:basedOn w:val="DefaultParagraphFont"/>
    <w:link w:val="HTMLPreformatted"/>
    <w:uiPriority w:val="99"/>
    <w:rsid w:val="004A15FA"/>
    <w:rPr>
      <w:rFonts w:ascii="Courier New" w:eastAsia="Courier New" w:hAnsi="Courier New" w:cs="Times New Roman"/>
      <w:color w:val="000000"/>
      <w:sz w:val="20"/>
      <w:szCs w:val="20"/>
    </w:rPr>
  </w:style>
  <w:style w:type="paragraph" w:styleId="List2">
    <w:name w:val="List 2"/>
    <w:basedOn w:val="Normal"/>
    <w:rsid w:val="004A15FA"/>
    <w:pPr>
      <w:ind w:left="720" w:hanging="360"/>
    </w:pPr>
    <w:rPr>
      <w:rFonts w:eastAsia="Times New Roman" w:cs="Times New Roman"/>
      <w:szCs w:val="24"/>
    </w:rPr>
  </w:style>
  <w:style w:type="paragraph" w:customStyle="1" w:styleId="Style">
    <w:name w:val="Style"/>
    <w:basedOn w:val="FootnoteText"/>
    <w:rsid w:val="004A15FA"/>
    <w:pPr>
      <w:keepLines/>
      <w:spacing w:after="240"/>
    </w:pPr>
    <w:rPr>
      <w:sz w:val="24"/>
    </w:rPr>
  </w:style>
  <w:style w:type="paragraph" w:customStyle="1" w:styleId="Style1">
    <w:name w:val="Style1"/>
    <w:basedOn w:val="Title"/>
    <w:rsid w:val="004A15FA"/>
    <w:pPr>
      <w:widowControl/>
      <w:autoSpaceDE/>
      <w:autoSpaceDN/>
      <w:adjustRightInd/>
      <w:spacing w:before="240" w:after="60"/>
      <w:jc w:val="left"/>
      <w:outlineLvl w:val="0"/>
    </w:pPr>
    <w:rPr>
      <w:rFonts w:cs="Arial"/>
      <w:kern w:val="28"/>
      <w:sz w:val="28"/>
      <w:szCs w:val="32"/>
    </w:rPr>
  </w:style>
  <w:style w:type="character" w:customStyle="1" w:styleId="MTEquationSection">
    <w:name w:val="MTEquationSection"/>
    <w:rsid w:val="004A15FA"/>
    <w:rPr>
      <w:vanish/>
      <w:color w:val="FF0000"/>
      <w:sz w:val="28"/>
      <w:szCs w:val="28"/>
    </w:rPr>
  </w:style>
  <w:style w:type="paragraph" w:styleId="Index2">
    <w:name w:val="index 2"/>
    <w:basedOn w:val="Normal"/>
    <w:next w:val="Normal"/>
    <w:autoRedefine/>
    <w:uiPriority w:val="99"/>
    <w:rsid w:val="004A15FA"/>
    <w:pPr>
      <w:ind w:left="480" w:hanging="240"/>
    </w:pPr>
    <w:rPr>
      <w:rFonts w:eastAsia="Times New Roman" w:cs="Times New Roman"/>
      <w:sz w:val="18"/>
      <w:szCs w:val="18"/>
    </w:rPr>
  </w:style>
  <w:style w:type="paragraph" w:styleId="Index3">
    <w:name w:val="index 3"/>
    <w:basedOn w:val="Normal"/>
    <w:next w:val="Normal"/>
    <w:autoRedefine/>
    <w:rsid w:val="004A15FA"/>
    <w:pPr>
      <w:ind w:left="720" w:hanging="240"/>
    </w:pPr>
    <w:rPr>
      <w:rFonts w:eastAsia="Times New Roman" w:cs="Times New Roman"/>
      <w:sz w:val="18"/>
      <w:szCs w:val="18"/>
    </w:rPr>
  </w:style>
  <w:style w:type="paragraph" w:styleId="Index4">
    <w:name w:val="index 4"/>
    <w:basedOn w:val="Normal"/>
    <w:next w:val="Normal"/>
    <w:autoRedefine/>
    <w:rsid w:val="004A15FA"/>
    <w:pPr>
      <w:ind w:left="960" w:hanging="240"/>
    </w:pPr>
    <w:rPr>
      <w:rFonts w:eastAsia="Times New Roman" w:cs="Times New Roman"/>
      <w:sz w:val="18"/>
      <w:szCs w:val="18"/>
    </w:rPr>
  </w:style>
  <w:style w:type="paragraph" w:styleId="Index5">
    <w:name w:val="index 5"/>
    <w:basedOn w:val="Normal"/>
    <w:next w:val="Normal"/>
    <w:autoRedefine/>
    <w:rsid w:val="004A15FA"/>
    <w:pPr>
      <w:ind w:left="1200" w:hanging="240"/>
    </w:pPr>
    <w:rPr>
      <w:rFonts w:eastAsia="Times New Roman" w:cs="Times New Roman"/>
      <w:sz w:val="18"/>
      <w:szCs w:val="18"/>
    </w:rPr>
  </w:style>
  <w:style w:type="paragraph" w:styleId="Index6">
    <w:name w:val="index 6"/>
    <w:basedOn w:val="Normal"/>
    <w:next w:val="Normal"/>
    <w:autoRedefine/>
    <w:rsid w:val="004A15FA"/>
    <w:pPr>
      <w:ind w:left="1440" w:hanging="240"/>
    </w:pPr>
    <w:rPr>
      <w:rFonts w:eastAsia="Times New Roman" w:cs="Times New Roman"/>
      <w:sz w:val="18"/>
      <w:szCs w:val="18"/>
    </w:rPr>
  </w:style>
  <w:style w:type="paragraph" w:styleId="Index7">
    <w:name w:val="index 7"/>
    <w:basedOn w:val="Normal"/>
    <w:next w:val="Normal"/>
    <w:autoRedefine/>
    <w:rsid w:val="004A15FA"/>
    <w:pPr>
      <w:ind w:left="1680" w:hanging="240"/>
    </w:pPr>
    <w:rPr>
      <w:rFonts w:eastAsia="Times New Roman" w:cs="Times New Roman"/>
      <w:sz w:val="18"/>
      <w:szCs w:val="18"/>
    </w:rPr>
  </w:style>
  <w:style w:type="paragraph" w:styleId="Index8">
    <w:name w:val="index 8"/>
    <w:basedOn w:val="Normal"/>
    <w:next w:val="Normal"/>
    <w:autoRedefine/>
    <w:rsid w:val="004A15FA"/>
    <w:pPr>
      <w:ind w:left="1920" w:hanging="240"/>
    </w:pPr>
    <w:rPr>
      <w:rFonts w:eastAsia="Times New Roman" w:cs="Times New Roman"/>
      <w:sz w:val="18"/>
      <w:szCs w:val="18"/>
    </w:rPr>
  </w:style>
  <w:style w:type="paragraph" w:styleId="Index9">
    <w:name w:val="index 9"/>
    <w:basedOn w:val="Normal"/>
    <w:next w:val="Normal"/>
    <w:autoRedefine/>
    <w:rsid w:val="004A15FA"/>
    <w:pPr>
      <w:ind w:left="2160" w:hanging="240"/>
    </w:pPr>
    <w:rPr>
      <w:rFonts w:eastAsia="Times New Roman" w:cs="Times New Roman"/>
      <w:sz w:val="18"/>
      <w:szCs w:val="18"/>
    </w:rPr>
  </w:style>
  <w:style w:type="paragraph" w:styleId="IndexHeading">
    <w:name w:val="index heading"/>
    <w:basedOn w:val="Normal"/>
    <w:next w:val="Index1"/>
    <w:rsid w:val="004A15FA"/>
    <w:pPr>
      <w:spacing w:before="240" w:after="120"/>
      <w:jc w:val="center"/>
    </w:pPr>
    <w:rPr>
      <w:rFonts w:eastAsia="Times New Roman" w:cs="Times New Roman"/>
      <w:b/>
      <w:bCs/>
      <w:sz w:val="26"/>
      <w:szCs w:val="26"/>
    </w:rPr>
  </w:style>
  <w:style w:type="character" w:customStyle="1" w:styleId="TabletitleChar2">
    <w:name w:val="Table title Char2"/>
    <w:rsid w:val="004A15FA"/>
    <w:rPr>
      <w:bCs/>
      <w:sz w:val="24"/>
      <w:szCs w:val="24"/>
      <w:lang w:val="en-US" w:eastAsia="en-US" w:bidi="ar-SA"/>
    </w:rPr>
  </w:style>
  <w:style w:type="paragraph" w:styleId="ListContinue2">
    <w:name w:val="List Continue 2"/>
    <w:basedOn w:val="Normal"/>
    <w:rsid w:val="004A15FA"/>
    <w:pPr>
      <w:spacing w:after="120"/>
      <w:ind w:left="720"/>
    </w:pPr>
    <w:rPr>
      <w:rFonts w:eastAsia="Times New Roman" w:cs="Times New Roman"/>
      <w:szCs w:val="24"/>
    </w:rPr>
  </w:style>
  <w:style w:type="paragraph" w:customStyle="1" w:styleId="Julie4">
    <w:name w:val="Julie 4"/>
    <w:basedOn w:val="Normal"/>
    <w:rsid w:val="004A15FA"/>
    <w:rPr>
      <w:rFonts w:eastAsia="Times New Roman" w:cs="Times New Roman"/>
      <w:szCs w:val="24"/>
    </w:rPr>
  </w:style>
  <w:style w:type="paragraph" w:customStyle="1" w:styleId="PropNorm">
    <w:name w:val="PropNorm"/>
    <w:basedOn w:val="Default"/>
    <w:next w:val="Default"/>
    <w:rsid w:val="004A15FA"/>
    <w:rPr>
      <w:rFonts w:ascii="COIHJI+TimesNewRoman" w:hAnsi="COIHJI+TimesNewRoman"/>
      <w:color w:val="auto"/>
    </w:rPr>
  </w:style>
  <w:style w:type="paragraph" w:customStyle="1" w:styleId="WPDefaults">
    <w:name w:val="WP Defaults"/>
    <w:basedOn w:val="Normal"/>
    <w:rsid w:val="004A15FA"/>
    <w:rPr>
      <w:rFonts w:eastAsia="Times New Roman" w:cs="Times New Roman"/>
      <w:szCs w:val="20"/>
      <w:lang w:val="en-GB"/>
    </w:rPr>
  </w:style>
  <w:style w:type="paragraph" w:customStyle="1" w:styleId="MyTOC1">
    <w:name w:val="My TOC1"/>
    <w:basedOn w:val="Normal"/>
    <w:next w:val="Normal"/>
    <w:autoRedefine/>
    <w:rsid w:val="004A15FA"/>
    <w:pPr>
      <w:widowControl w:val="0"/>
      <w:autoSpaceDE w:val="0"/>
      <w:autoSpaceDN w:val="0"/>
      <w:adjustRightInd w:val="0"/>
    </w:pPr>
    <w:rPr>
      <w:rFonts w:eastAsia="Times New Roman" w:cs="Times New Roman"/>
      <w:b/>
      <w:caps/>
      <w:szCs w:val="24"/>
    </w:rPr>
  </w:style>
  <w:style w:type="paragraph" w:customStyle="1" w:styleId="MyTOC2">
    <w:name w:val="My TOC2"/>
    <w:basedOn w:val="Normal"/>
    <w:next w:val="Normal"/>
    <w:autoRedefine/>
    <w:rsid w:val="004A15FA"/>
    <w:pPr>
      <w:widowControl w:val="0"/>
      <w:numPr>
        <w:ilvl w:val="12"/>
      </w:numPr>
      <w:autoSpaceDE w:val="0"/>
      <w:autoSpaceDN w:val="0"/>
      <w:adjustRightInd w:val="0"/>
      <w:ind w:left="360"/>
    </w:pPr>
    <w:rPr>
      <w:rFonts w:eastAsia="Times New Roman" w:cs="Times New Roman"/>
      <w:b/>
      <w:bCs/>
      <w:szCs w:val="24"/>
    </w:rPr>
  </w:style>
  <w:style w:type="paragraph" w:customStyle="1" w:styleId="MyTOC3">
    <w:name w:val="My TOC3"/>
    <w:basedOn w:val="Normal"/>
    <w:next w:val="Normal"/>
    <w:autoRedefine/>
    <w:rsid w:val="004A15FA"/>
    <w:pPr>
      <w:widowControl w:val="0"/>
      <w:autoSpaceDE w:val="0"/>
      <w:autoSpaceDN w:val="0"/>
      <w:adjustRightInd w:val="0"/>
    </w:pPr>
    <w:rPr>
      <w:rFonts w:eastAsia="Times New Roman" w:cs="Times New Roman"/>
      <w:b/>
      <w:bCs/>
      <w:szCs w:val="20"/>
    </w:rPr>
  </w:style>
  <w:style w:type="paragraph" w:customStyle="1" w:styleId="Outline3">
    <w:name w:val="Outline 3"/>
    <w:basedOn w:val="Normal"/>
    <w:rsid w:val="004A15FA"/>
    <w:pPr>
      <w:ind w:left="2160"/>
    </w:pPr>
    <w:rPr>
      <w:rFonts w:eastAsia="Times New Roman" w:cs="Times New Roman"/>
      <w:sz w:val="20"/>
      <w:szCs w:val="20"/>
      <w:lang w:val="en-GB"/>
    </w:rPr>
  </w:style>
  <w:style w:type="paragraph" w:customStyle="1" w:styleId="Document3">
    <w:name w:val="Document[3]"/>
    <w:rsid w:val="004A15FA"/>
    <w:rPr>
      <w:rFonts w:ascii="Courier" w:eastAsia="Times New Roman" w:hAnsi="Courier" w:cs="Times New Roman"/>
      <w:b/>
      <w:sz w:val="24"/>
      <w:szCs w:val="24"/>
    </w:rPr>
  </w:style>
  <w:style w:type="character" w:customStyle="1" w:styleId="CharChar27">
    <w:name w:val="Char Char27"/>
    <w:locked/>
    <w:rsid w:val="004A15FA"/>
    <w:rPr>
      <w:rFonts w:ascii="Arial" w:hAnsi="Arial" w:cs="Arial"/>
      <w:b/>
      <w:bCs/>
      <w:kern w:val="32"/>
      <w:sz w:val="32"/>
      <w:szCs w:val="32"/>
    </w:rPr>
  </w:style>
  <w:style w:type="character" w:customStyle="1" w:styleId="CharChar26">
    <w:name w:val="Char Char26"/>
    <w:locked/>
    <w:rsid w:val="004A15FA"/>
    <w:rPr>
      <w:rFonts w:ascii="Arial" w:hAnsi="Arial" w:cs="Arial"/>
      <w:b/>
      <w:bCs/>
      <w:i/>
      <w:iCs/>
      <w:sz w:val="28"/>
      <w:szCs w:val="28"/>
    </w:rPr>
  </w:style>
  <w:style w:type="character" w:customStyle="1" w:styleId="CharChar25">
    <w:name w:val="Char Char25"/>
    <w:locked/>
    <w:rsid w:val="004A15FA"/>
    <w:rPr>
      <w:rFonts w:ascii="Arial" w:hAnsi="Arial" w:cs="Arial"/>
      <w:b/>
      <w:bCs/>
      <w:sz w:val="26"/>
      <w:szCs w:val="26"/>
    </w:rPr>
  </w:style>
  <w:style w:type="character" w:customStyle="1" w:styleId="Heading4CharCharCharChar1">
    <w:name w:val="Heading 4 Char Char Char Char1"/>
    <w:locked/>
    <w:rsid w:val="004A15FA"/>
    <w:rPr>
      <w:rFonts w:cs="Times New Roman"/>
      <w:b/>
      <w:bCs/>
      <w:sz w:val="28"/>
      <w:szCs w:val="28"/>
    </w:rPr>
  </w:style>
  <w:style w:type="character" w:customStyle="1" w:styleId="CharChar24">
    <w:name w:val="Char Char24"/>
    <w:locked/>
    <w:rsid w:val="004A15FA"/>
    <w:rPr>
      <w:rFonts w:cs="Times New Roman"/>
      <w:b/>
      <w:bCs/>
      <w:i/>
      <w:iCs/>
      <w:sz w:val="26"/>
      <w:szCs w:val="26"/>
    </w:rPr>
  </w:style>
  <w:style w:type="character" w:customStyle="1" w:styleId="CharChar23">
    <w:name w:val="Char Char23"/>
    <w:locked/>
    <w:rsid w:val="004A15FA"/>
    <w:rPr>
      <w:rFonts w:cs="Times New Roman"/>
      <w:b/>
      <w:bCs/>
      <w:sz w:val="22"/>
      <w:szCs w:val="22"/>
    </w:rPr>
  </w:style>
  <w:style w:type="character" w:customStyle="1" w:styleId="CharChar22">
    <w:name w:val="Char Char22"/>
    <w:locked/>
    <w:rsid w:val="004A15FA"/>
    <w:rPr>
      <w:rFonts w:cs="Times New Roman"/>
      <w:sz w:val="24"/>
      <w:szCs w:val="24"/>
    </w:rPr>
  </w:style>
  <w:style w:type="character" w:customStyle="1" w:styleId="CharChar21">
    <w:name w:val="Char Char21"/>
    <w:locked/>
    <w:rsid w:val="004A15FA"/>
    <w:rPr>
      <w:rFonts w:cs="Times New Roman"/>
      <w:i/>
      <w:iCs/>
      <w:sz w:val="24"/>
      <w:szCs w:val="24"/>
    </w:rPr>
  </w:style>
  <w:style w:type="character" w:customStyle="1" w:styleId="CharChar20">
    <w:name w:val="Char Char20"/>
    <w:locked/>
    <w:rsid w:val="004A15FA"/>
    <w:rPr>
      <w:rFonts w:ascii="Arial" w:hAnsi="Arial" w:cs="Arial"/>
      <w:sz w:val="22"/>
      <w:szCs w:val="22"/>
    </w:rPr>
  </w:style>
  <w:style w:type="character" w:customStyle="1" w:styleId="CharChar18">
    <w:name w:val="Char Char18"/>
    <w:locked/>
    <w:rsid w:val="004A15FA"/>
    <w:rPr>
      <w:rFonts w:cs="Times New Roman"/>
      <w:sz w:val="24"/>
      <w:szCs w:val="24"/>
    </w:rPr>
  </w:style>
  <w:style w:type="character" w:customStyle="1" w:styleId="CharChar14">
    <w:name w:val="Char Char14"/>
    <w:locked/>
    <w:rsid w:val="004A15FA"/>
    <w:rPr>
      <w:rFonts w:cs="Times New Roman"/>
      <w:sz w:val="24"/>
      <w:szCs w:val="24"/>
    </w:rPr>
  </w:style>
  <w:style w:type="character" w:customStyle="1" w:styleId="CharChar11">
    <w:name w:val="Char Char11"/>
    <w:locked/>
    <w:rsid w:val="004A15FA"/>
    <w:rPr>
      <w:rFonts w:ascii="Cambria" w:hAnsi="Cambria" w:cs="Times New Roman"/>
      <w:sz w:val="24"/>
      <w:szCs w:val="24"/>
    </w:rPr>
  </w:style>
  <w:style w:type="character" w:customStyle="1" w:styleId="CharChar4">
    <w:name w:val="Char Char4"/>
    <w:locked/>
    <w:rsid w:val="004A15FA"/>
    <w:rPr>
      <w:rFonts w:ascii="Cambria" w:hAnsi="Cambria" w:cs="Times New Roman"/>
      <w:b/>
      <w:bCs/>
      <w:kern w:val="28"/>
      <w:sz w:val="32"/>
      <w:szCs w:val="32"/>
    </w:rPr>
  </w:style>
  <w:style w:type="character" w:customStyle="1" w:styleId="CharChar13">
    <w:name w:val="Char Char13"/>
    <w:uiPriority w:val="99"/>
    <w:rsid w:val="004A15FA"/>
    <w:rPr>
      <w:rFonts w:eastAsia="Times New Roman" w:cs="Times New Roman"/>
      <w:bCs/>
      <w:i/>
      <w:sz w:val="28"/>
      <w:szCs w:val="28"/>
      <w:lang w:val="en-US" w:eastAsia="en-US" w:bidi="ar-SA"/>
    </w:rPr>
  </w:style>
  <w:style w:type="character" w:customStyle="1" w:styleId="Heading4Char1">
    <w:name w:val="Heading 4 Char1"/>
    <w:aliases w:val="Heading 4 Char Char Char1"/>
    <w:rsid w:val="004A15FA"/>
    <w:rPr>
      <w:b/>
      <w:bCs/>
      <w:sz w:val="28"/>
      <w:szCs w:val="28"/>
      <w:lang w:val="en-US" w:eastAsia="en-US" w:bidi="ar-SA"/>
    </w:rPr>
  </w:style>
  <w:style w:type="paragraph" w:styleId="ListBullet2">
    <w:name w:val="List Bullet 2"/>
    <w:basedOn w:val="Normal"/>
    <w:autoRedefine/>
    <w:rsid w:val="004A15FA"/>
    <w:pPr>
      <w:tabs>
        <w:tab w:val="num" w:pos="720"/>
      </w:tabs>
      <w:ind w:left="720" w:hanging="360"/>
    </w:pPr>
    <w:rPr>
      <w:rFonts w:eastAsia="Times New Roman" w:cs="Times New Roman"/>
      <w:szCs w:val="24"/>
    </w:rPr>
  </w:style>
  <w:style w:type="paragraph" w:styleId="ListBullet3">
    <w:name w:val="List Bullet 3"/>
    <w:basedOn w:val="Normal"/>
    <w:autoRedefine/>
    <w:rsid w:val="004A15FA"/>
    <w:pPr>
      <w:tabs>
        <w:tab w:val="num" w:pos="1080"/>
      </w:tabs>
      <w:ind w:left="1080" w:hanging="360"/>
    </w:pPr>
    <w:rPr>
      <w:rFonts w:eastAsia="Times New Roman" w:cs="Times New Roman"/>
      <w:szCs w:val="24"/>
    </w:rPr>
  </w:style>
  <w:style w:type="paragraph" w:styleId="ListBullet5">
    <w:name w:val="List Bullet 5"/>
    <w:basedOn w:val="Normal"/>
    <w:autoRedefine/>
    <w:rsid w:val="004A15FA"/>
    <w:pPr>
      <w:tabs>
        <w:tab w:val="num" w:pos="1800"/>
      </w:tabs>
      <w:ind w:left="1800" w:hanging="360"/>
    </w:pPr>
    <w:rPr>
      <w:rFonts w:eastAsia="Times New Roman" w:cs="Times New Roman"/>
      <w:szCs w:val="24"/>
    </w:rPr>
  </w:style>
  <w:style w:type="paragraph" w:styleId="ListNumber">
    <w:name w:val="List Number"/>
    <w:basedOn w:val="Normal"/>
    <w:rsid w:val="004A15FA"/>
    <w:pPr>
      <w:tabs>
        <w:tab w:val="num" w:pos="360"/>
      </w:tabs>
      <w:ind w:left="360" w:hanging="360"/>
    </w:pPr>
    <w:rPr>
      <w:rFonts w:eastAsia="Times New Roman" w:cs="Times New Roman"/>
      <w:szCs w:val="24"/>
    </w:rPr>
  </w:style>
  <w:style w:type="paragraph" w:styleId="ListNumber2">
    <w:name w:val="List Number 2"/>
    <w:basedOn w:val="Normal"/>
    <w:rsid w:val="004A15FA"/>
    <w:pPr>
      <w:tabs>
        <w:tab w:val="num" w:pos="720"/>
      </w:tabs>
      <w:ind w:left="720" w:hanging="360"/>
    </w:pPr>
    <w:rPr>
      <w:rFonts w:eastAsia="Times New Roman" w:cs="Times New Roman"/>
      <w:szCs w:val="24"/>
    </w:rPr>
  </w:style>
  <w:style w:type="paragraph" w:styleId="ListNumber3">
    <w:name w:val="List Number 3"/>
    <w:basedOn w:val="Normal"/>
    <w:rsid w:val="004A15FA"/>
    <w:pPr>
      <w:tabs>
        <w:tab w:val="num" w:pos="1080"/>
      </w:tabs>
      <w:ind w:left="1080" w:hanging="360"/>
    </w:pPr>
    <w:rPr>
      <w:rFonts w:eastAsia="Times New Roman" w:cs="Times New Roman"/>
      <w:szCs w:val="24"/>
    </w:rPr>
  </w:style>
  <w:style w:type="paragraph" w:styleId="ListNumber4">
    <w:name w:val="List Number 4"/>
    <w:basedOn w:val="Normal"/>
    <w:rsid w:val="004A15FA"/>
    <w:pPr>
      <w:tabs>
        <w:tab w:val="num" w:pos="1440"/>
      </w:tabs>
      <w:ind w:left="1440" w:hanging="360"/>
    </w:pPr>
    <w:rPr>
      <w:rFonts w:eastAsia="Times New Roman" w:cs="Times New Roman"/>
      <w:szCs w:val="24"/>
    </w:rPr>
  </w:style>
  <w:style w:type="paragraph" w:styleId="ListNumber5">
    <w:name w:val="List Number 5"/>
    <w:basedOn w:val="Normal"/>
    <w:rsid w:val="004A15FA"/>
    <w:pPr>
      <w:tabs>
        <w:tab w:val="num" w:pos="1800"/>
      </w:tabs>
      <w:ind w:left="1800" w:hanging="360"/>
    </w:pPr>
    <w:rPr>
      <w:rFonts w:eastAsia="Times New Roman" w:cs="Times New Roman"/>
      <w:szCs w:val="24"/>
    </w:rPr>
  </w:style>
  <w:style w:type="paragraph" w:customStyle="1" w:styleId="Default1">
    <w:name w:val="Default1"/>
    <w:basedOn w:val="Default"/>
    <w:next w:val="Default"/>
    <w:rsid w:val="004A15FA"/>
    <w:rPr>
      <w:color w:val="auto"/>
    </w:rPr>
  </w:style>
  <w:style w:type="paragraph" w:customStyle="1" w:styleId="tabletitle0">
    <w:name w:val="tabletitle"/>
    <w:basedOn w:val="Normal"/>
    <w:rsid w:val="004A15FA"/>
    <w:rPr>
      <w:rFonts w:eastAsia="Times New Roman" w:cs="Times New Roman"/>
      <w:szCs w:val="24"/>
    </w:rPr>
  </w:style>
  <w:style w:type="paragraph" w:customStyle="1" w:styleId="default0">
    <w:name w:val="default"/>
    <w:basedOn w:val="Normal"/>
    <w:rsid w:val="004A15FA"/>
    <w:pPr>
      <w:autoSpaceDE w:val="0"/>
      <w:autoSpaceDN w:val="0"/>
    </w:pPr>
    <w:rPr>
      <w:rFonts w:eastAsia="Times New Roman" w:cs="Times New Roman"/>
      <w:color w:val="000000"/>
      <w:szCs w:val="24"/>
    </w:rPr>
  </w:style>
  <w:style w:type="character" w:customStyle="1" w:styleId="Heading1Char1">
    <w:name w:val="Heading 1 Char1"/>
    <w:rsid w:val="004A15FA"/>
    <w:rPr>
      <w:b/>
      <w:bCs/>
      <w:color w:val="8DB3E2"/>
      <w:kern w:val="32"/>
      <w:sz w:val="36"/>
      <w:szCs w:val="36"/>
    </w:rPr>
  </w:style>
  <w:style w:type="character" w:customStyle="1" w:styleId="CharChar39">
    <w:name w:val="Char Char39"/>
    <w:rsid w:val="004A15FA"/>
    <w:rPr>
      <w:rFonts w:ascii="Arial" w:eastAsia="Times New Roman" w:hAnsi="Arial" w:cs="Arial"/>
      <w:b/>
      <w:bCs/>
      <w:i/>
      <w:iCs/>
      <w:sz w:val="28"/>
      <w:szCs w:val="28"/>
    </w:rPr>
  </w:style>
  <w:style w:type="paragraph" w:customStyle="1" w:styleId="ColorfulList-Accent11">
    <w:name w:val="Colorful List - Accent 11"/>
    <w:basedOn w:val="Normal"/>
    <w:uiPriority w:val="34"/>
    <w:qFormat/>
    <w:rsid w:val="004A15FA"/>
    <w:pPr>
      <w:ind w:left="720"/>
      <w:contextualSpacing/>
    </w:pPr>
    <w:rPr>
      <w:rFonts w:ascii="Calibri" w:eastAsia="Calibri" w:hAnsi="Calibri" w:cs="Times New Roman"/>
      <w:sz w:val="22"/>
    </w:rPr>
  </w:style>
  <w:style w:type="character" w:customStyle="1" w:styleId="StyleHeading4Char1Heading4CharCharChar112pt">
    <w:name w:val="Style Heading 4 Char1Heading 4 Char Char Char1 + 12 pt"/>
    <w:qFormat/>
    <w:rsid w:val="004A15FA"/>
    <w:rPr>
      <w:b w:val="0"/>
      <w:bCs w:val="0"/>
      <w:sz w:val="24"/>
      <w:szCs w:val="28"/>
      <w:lang w:val="en-US" w:eastAsia="en-US" w:bidi="ar-SA"/>
    </w:rPr>
  </w:style>
  <w:style w:type="paragraph" w:customStyle="1" w:styleId="NoSpacing1">
    <w:name w:val="No Spacing1"/>
    <w:uiPriority w:val="99"/>
    <w:qFormat/>
    <w:rsid w:val="004A15FA"/>
    <w:rPr>
      <w:rFonts w:ascii="Times New Roman" w:eastAsia="Times New Roman" w:hAnsi="Times New Roman" w:cs="Times New Roman"/>
      <w:sz w:val="24"/>
      <w:szCs w:val="24"/>
    </w:rPr>
  </w:style>
  <w:style w:type="paragraph" w:customStyle="1" w:styleId="ColorfulShading-Accent11">
    <w:name w:val="Colorful Shading - Accent 11"/>
    <w:hidden/>
    <w:uiPriority w:val="99"/>
    <w:rsid w:val="004A15FA"/>
    <w:rPr>
      <w:rFonts w:ascii="Times New Roman" w:eastAsia="Times New Roman" w:hAnsi="Times New Roman" w:cs="Times New Roman"/>
      <w:sz w:val="24"/>
      <w:szCs w:val="24"/>
    </w:rPr>
  </w:style>
  <w:style w:type="paragraph" w:customStyle="1" w:styleId="Nothing">
    <w:name w:val="Nothing"/>
    <w:basedOn w:val="Heading1"/>
    <w:rsid w:val="004A15FA"/>
    <w:pPr>
      <w:keepNext w:val="0"/>
      <w:spacing w:before="0" w:after="0"/>
    </w:pPr>
    <w:rPr>
      <w:rFonts w:ascii="Times Roman" w:hAnsi="Times Roman" w:cs="Times Roman"/>
      <w:b w:val="0"/>
      <w:bCs w:val="0"/>
      <w:color w:val="000000"/>
      <w:kern w:val="0"/>
      <w:szCs w:val="20"/>
    </w:rPr>
  </w:style>
  <w:style w:type="character" w:customStyle="1" w:styleId="StyleHeading3CharTimesNewRoman12pt">
    <w:name w:val="Style Heading 3 Char + Times New Roman 12 pt"/>
    <w:qFormat/>
    <w:rsid w:val="004A15FA"/>
    <w:rPr>
      <w:rFonts w:ascii="Times New Roman" w:hAnsi="Times New Roman" w:cs="Arial" w:hint="default"/>
      <w:b/>
      <w:bCs/>
      <w:sz w:val="24"/>
      <w:szCs w:val="26"/>
      <w:lang w:val="en-US" w:eastAsia="en-US" w:bidi="ar-SA"/>
    </w:rPr>
  </w:style>
  <w:style w:type="character" w:customStyle="1" w:styleId="EmailStyle3411">
    <w:name w:val="EmailStyle3411"/>
    <w:semiHidden/>
    <w:rsid w:val="004A15FA"/>
    <w:rPr>
      <w:rFonts w:ascii="Arial" w:hAnsi="Arial" w:cs="Arial" w:hint="default"/>
      <w:color w:val="auto"/>
      <w:sz w:val="20"/>
      <w:szCs w:val="20"/>
    </w:rPr>
  </w:style>
  <w:style w:type="character" w:customStyle="1" w:styleId="CharChar271">
    <w:name w:val="Char Char271"/>
    <w:uiPriority w:val="99"/>
    <w:locked/>
    <w:rsid w:val="004A15FA"/>
    <w:rPr>
      <w:rFonts w:ascii="Arial" w:hAnsi="Arial" w:cs="Arial"/>
      <w:b/>
      <w:bCs/>
      <w:kern w:val="32"/>
      <w:sz w:val="32"/>
      <w:szCs w:val="32"/>
    </w:rPr>
  </w:style>
  <w:style w:type="character" w:customStyle="1" w:styleId="CharChar261">
    <w:name w:val="Char Char261"/>
    <w:uiPriority w:val="99"/>
    <w:locked/>
    <w:rsid w:val="004A15FA"/>
    <w:rPr>
      <w:rFonts w:ascii="Arial" w:hAnsi="Arial" w:cs="Arial"/>
      <w:b/>
      <w:bCs/>
      <w:i/>
      <w:iCs/>
      <w:sz w:val="28"/>
      <w:szCs w:val="28"/>
    </w:rPr>
  </w:style>
  <w:style w:type="character" w:customStyle="1" w:styleId="CharChar251">
    <w:name w:val="Char Char251"/>
    <w:uiPriority w:val="99"/>
    <w:locked/>
    <w:rsid w:val="004A15FA"/>
    <w:rPr>
      <w:rFonts w:ascii="Arial" w:hAnsi="Arial" w:cs="Arial"/>
      <w:b/>
      <w:bCs/>
      <w:sz w:val="26"/>
      <w:szCs w:val="26"/>
    </w:rPr>
  </w:style>
  <w:style w:type="character" w:customStyle="1" w:styleId="CharChar241">
    <w:name w:val="Char Char241"/>
    <w:uiPriority w:val="99"/>
    <w:locked/>
    <w:rsid w:val="004A15FA"/>
    <w:rPr>
      <w:rFonts w:cs="Times New Roman"/>
      <w:b/>
      <w:bCs/>
      <w:i/>
      <w:iCs/>
      <w:sz w:val="26"/>
      <w:szCs w:val="26"/>
    </w:rPr>
  </w:style>
  <w:style w:type="character" w:customStyle="1" w:styleId="CharChar231">
    <w:name w:val="Char Char231"/>
    <w:uiPriority w:val="99"/>
    <w:locked/>
    <w:rsid w:val="004A15FA"/>
    <w:rPr>
      <w:rFonts w:cs="Times New Roman"/>
      <w:b/>
      <w:bCs/>
      <w:sz w:val="22"/>
      <w:szCs w:val="22"/>
    </w:rPr>
  </w:style>
  <w:style w:type="character" w:customStyle="1" w:styleId="CharChar221">
    <w:name w:val="Char Char221"/>
    <w:uiPriority w:val="99"/>
    <w:locked/>
    <w:rsid w:val="004A15FA"/>
    <w:rPr>
      <w:rFonts w:cs="Times New Roman"/>
      <w:sz w:val="24"/>
      <w:szCs w:val="24"/>
    </w:rPr>
  </w:style>
  <w:style w:type="character" w:customStyle="1" w:styleId="CharChar211">
    <w:name w:val="Char Char211"/>
    <w:uiPriority w:val="99"/>
    <w:locked/>
    <w:rsid w:val="004A15FA"/>
    <w:rPr>
      <w:rFonts w:cs="Times New Roman"/>
      <w:i/>
      <w:iCs/>
      <w:sz w:val="24"/>
      <w:szCs w:val="24"/>
    </w:rPr>
  </w:style>
  <w:style w:type="character" w:customStyle="1" w:styleId="CharChar201">
    <w:name w:val="Char Char201"/>
    <w:uiPriority w:val="99"/>
    <w:locked/>
    <w:rsid w:val="004A15FA"/>
    <w:rPr>
      <w:rFonts w:ascii="Arial" w:hAnsi="Arial" w:cs="Arial"/>
      <w:sz w:val="22"/>
      <w:szCs w:val="22"/>
    </w:rPr>
  </w:style>
  <w:style w:type="character" w:customStyle="1" w:styleId="CharChar181">
    <w:name w:val="Char Char181"/>
    <w:uiPriority w:val="99"/>
    <w:locked/>
    <w:rsid w:val="004A15FA"/>
    <w:rPr>
      <w:rFonts w:cs="Times New Roman"/>
      <w:sz w:val="24"/>
      <w:szCs w:val="24"/>
    </w:rPr>
  </w:style>
  <w:style w:type="character" w:customStyle="1" w:styleId="CharChar141">
    <w:name w:val="Char Char141"/>
    <w:uiPriority w:val="99"/>
    <w:locked/>
    <w:rsid w:val="004A15FA"/>
    <w:rPr>
      <w:rFonts w:cs="Times New Roman"/>
      <w:sz w:val="24"/>
      <w:szCs w:val="24"/>
    </w:rPr>
  </w:style>
  <w:style w:type="character" w:customStyle="1" w:styleId="CharChar111">
    <w:name w:val="Char Char111"/>
    <w:uiPriority w:val="99"/>
    <w:locked/>
    <w:rsid w:val="004A15FA"/>
    <w:rPr>
      <w:rFonts w:ascii="Cambria" w:hAnsi="Cambria" w:cs="Times New Roman"/>
      <w:sz w:val="24"/>
      <w:szCs w:val="24"/>
    </w:rPr>
  </w:style>
  <w:style w:type="character" w:customStyle="1" w:styleId="CharChar41">
    <w:name w:val="Char Char41"/>
    <w:uiPriority w:val="99"/>
    <w:locked/>
    <w:rsid w:val="004A15FA"/>
    <w:rPr>
      <w:rFonts w:ascii="Cambria" w:hAnsi="Cambria" w:cs="Times New Roman"/>
      <w:b/>
      <w:bCs/>
      <w:kern w:val="28"/>
      <w:sz w:val="32"/>
      <w:szCs w:val="32"/>
    </w:rPr>
  </w:style>
  <w:style w:type="character" w:customStyle="1" w:styleId="CharChar12">
    <w:name w:val="Char Char12"/>
    <w:uiPriority w:val="99"/>
    <w:rsid w:val="004A15FA"/>
    <w:rPr>
      <w:rFonts w:eastAsia="Times New Roman" w:cs="Times New Roman"/>
      <w:bCs/>
      <w:i/>
      <w:sz w:val="28"/>
      <w:szCs w:val="28"/>
      <w:lang w:val="en-US" w:eastAsia="en-US" w:bidi="ar-SA"/>
    </w:rPr>
  </w:style>
  <w:style w:type="character" w:customStyle="1" w:styleId="CharChar391">
    <w:name w:val="Char Char391"/>
    <w:uiPriority w:val="99"/>
    <w:rsid w:val="004A15FA"/>
    <w:rPr>
      <w:rFonts w:ascii="Arial" w:eastAsia="Times New Roman" w:hAnsi="Arial" w:cs="Arial"/>
      <w:b/>
      <w:bCs/>
      <w:i/>
      <w:iCs/>
      <w:sz w:val="28"/>
      <w:szCs w:val="28"/>
    </w:rPr>
  </w:style>
  <w:style w:type="character" w:customStyle="1" w:styleId="EmailStyle356">
    <w:name w:val="EmailStyle356"/>
    <w:semiHidden/>
    <w:rsid w:val="004A15FA"/>
    <w:rPr>
      <w:rFonts w:ascii="Arial" w:hAnsi="Arial" w:cs="Arial" w:hint="default"/>
      <w:color w:val="auto"/>
      <w:sz w:val="20"/>
      <w:szCs w:val="20"/>
    </w:rPr>
  </w:style>
  <w:style w:type="character" w:customStyle="1" w:styleId="EmailStyle357">
    <w:name w:val="EmailStyle357"/>
    <w:semiHidden/>
    <w:rsid w:val="004A15FA"/>
    <w:rPr>
      <w:rFonts w:ascii="Arial" w:hAnsi="Arial" w:cs="Arial" w:hint="default"/>
      <w:color w:val="auto"/>
      <w:sz w:val="20"/>
      <w:szCs w:val="20"/>
    </w:rPr>
  </w:style>
  <w:style w:type="table" w:styleId="TableList1">
    <w:name w:val="Table List 1"/>
    <w:basedOn w:val="TableNormal"/>
    <w:uiPriority w:val="99"/>
    <w:rsid w:val="004A15FA"/>
    <w:rPr>
      <w:rFonts w:ascii="Times New Roman" w:eastAsia="Times New Roman" w:hAnsi="Times New Roman" w:cs="Times New Roman"/>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4A15FA"/>
    <w:rPr>
      <w:rFonts w:ascii="Times New Roman" w:eastAsia="Times New Roman" w:hAnsi="Times New Roman" w:cs="Times New Roman"/>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A15FA"/>
    <w:rPr>
      <w:rFonts w:ascii="Times New Roman" w:eastAsia="Times New Roman" w:hAnsi="Times New Roman"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A15FA"/>
    <w:rPr>
      <w:rFonts w:ascii="Times New Roman" w:eastAsia="Times New Roman" w:hAnsi="Times New Roman" w:cs="Times New Roman"/>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uiPriority w:val="99"/>
    <w:rsid w:val="004A15FA"/>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4A15FA"/>
    <w:rPr>
      <w:rFonts w:ascii="Times New Roman" w:eastAsia="Times New Roman" w:hAnsi="Times New Roman" w:cs="Times New Roman"/>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A15FA"/>
    <w:rPr>
      <w:rFonts w:ascii="Times New Roman" w:eastAsia="Times New Roman" w:hAnsi="Times New Roman" w:cs="Times New Roman"/>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3">
    <w:name w:val="Table Columns 3"/>
    <w:basedOn w:val="TableNormal"/>
    <w:rsid w:val="004A15FA"/>
    <w:rPr>
      <w:rFonts w:ascii="Times New Roman" w:eastAsia="Times New Roman" w:hAnsi="Times New Roman"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DarkList-Accent3">
    <w:name w:val="Dark List Accent 3"/>
    <w:basedOn w:val="TableNormal"/>
    <w:uiPriority w:val="71"/>
    <w:rsid w:val="004A15FA"/>
    <w:rPr>
      <w:rFonts w:ascii="Times New Roman" w:eastAsia="Times New Roman" w:hAnsi="Times New Roman" w:cs="Times New Roman"/>
      <w:color w:val="000000"/>
      <w:sz w:val="24"/>
      <w:szCs w:val="24"/>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HTMLCite">
    <w:name w:val="HTML Cite"/>
    <w:uiPriority w:val="99"/>
    <w:unhideWhenUsed/>
    <w:rsid w:val="004A15FA"/>
    <w:rPr>
      <w:b w:val="0"/>
      <w:bCs w:val="0"/>
      <w:i w:val="0"/>
      <w:iCs w:val="0"/>
      <w:vanish w:val="0"/>
      <w:webHidden w:val="0"/>
      <w:specVanish w:val="0"/>
    </w:rPr>
  </w:style>
  <w:style w:type="character" w:customStyle="1" w:styleId="author">
    <w:name w:val="author"/>
    <w:basedOn w:val="DefaultParagraphFont"/>
    <w:rsid w:val="004A15FA"/>
  </w:style>
  <w:style w:type="character" w:customStyle="1" w:styleId="pubyear">
    <w:name w:val="pubyear"/>
    <w:basedOn w:val="DefaultParagraphFont"/>
    <w:rsid w:val="004A15FA"/>
  </w:style>
  <w:style w:type="character" w:customStyle="1" w:styleId="articletitle5">
    <w:name w:val="articletitle5"/>
    <w:basedOn w:val="DefaultParagraphFont"/>
    <w:rsid w:val="004A15FA"/>
  </w:style>
  <w:style w:type="character" w:customStyle="1" w:styleId="journaltitle3">
    <w:name w:val="journaltitle3"/>
    <w:rsid w:val="004A15FA"/>
    <w:rPr>
      <w:i/>
      <w:iCs/>
    </w:rPr>
  </w:style>
  <w:style w:type="character" w:customStyle="1" w:styleId="vol3">
    <w:name w:val="vol3"/>
    <w:rsid w:val="004A15FA"/>
    <w:rPr>
      <w:b/>
      <w:bCs/>
    </w:rPr>
  </w:style>
  <w:style w:type="character" w:customStyle="1" w:styleId="pagefirst">
    <w:name w:val="pagefirst"/>
    <w:basedOn w:val="DefaultParagraphFont"/>
    <w:rsid w:val="004A15FA"/>
  </w:style>
  <w:style w:type="character" w:customStyle="1" w:styleId="pagelast">
    <w:name w:val="pagelast"/>
    <w:basedOn w:val="DefaultParagraphFont"/>
    <w:rsid w:val="004A15FA"/>
  </w:style>
  <w:style w:type="character" w:customStyle="1" w:styleId="Heading3Char1">
    <w:name w:val="Heading 3 Char1"/>
    <w:rsid w:val="004A15FA"/>
    <w:rPr>
      <w:rFonts w:ascii="Arial" w:hAnsi="Arial"/>
      <w:b/>
      <w:bCs/>
      <w:sz w:val="28"/>
      <w:szCs w:val="28"/>
    </w:rPr>
  </w:style>
  <w:style w:type="paragraph" w:customStyle="1" w:styleId="MediumGrid1-Accent21">
    <w:name w:val="Medium Grid 1 - Accent 21"/>
    <w:basedOn w:val="Normal"/>
    <w:uiPriority w:val="34"/>
    <w:qFormat/>
    <w:rsid w:val="004A15FA"/>
    <w:pPr>
      <w:spacing w:after="200" w:line="276" w:lineRule="auto"/>
      <w:ind w:left="720"/>
      <w:contextualSpacing/>
    </w:pPr>
    <w:rPr>
      <w:rFonts w:ascii="Calibri" w:eastAsia="Calibri" w:hAnsi="Calibri" w:cs="Times New Roman"/>
      <w:sz w:val="22"/>
    </w:rPr>
  </w:style>
  <w:style w:type="character" w:customStyle="1" w:styleId="moz-txt-citetags">
    <w:name w:val="moz-txt-citetags"/>
    <w:basedOn w:val="DefaultParagraphFont"/>
    <w:rsid w:val="004A15FA"/>
  </w:style>
  <w:style w:type="paragraph" w:styleId="TOCHeading">
    <w:name w:val="TOC Heading"/>
    <w:basedOn w:val="Heading1"/>
    <w:next w:val="Normal"/>
    <w:uiPriority w:val="39"/>
    <w:semiHidden/>
    <w:unhideWhenUsed/>
    <w:qFormat/>
    <w:rsid w:val="004A15FA"/>
    <w:pPr>
      <w:keepLines/>
      <w:spacing w:before="480" w:after="0" w:line="276" w:lineRule="auto"/>
      <w:outlineLvl w:val="9"/>
    </w:pPr>
    <w:rPr>
      <w:rFonts w:ascii="Cambria" w:hAnsi="Cambria" w:cs="Times New Roman"/>
      <w:color w:val="365F91"/>
      <w:kern w:val="0"/>
      <w:sz w:val="28"/>
      <w:szCs w:val="28"/>
    </w:rPr>
  </w:style>
  <w:style w:type="paragraph" w:customStyle="1" w:styleId="xl160">
    <w:name w:val="xl160"/>
    <w:basedOn w:val="Normal"/>
    <w:rsid w:val="004A15FA"/>
    <w:pPr>
      <w:pBdr>
        <w:top w:val="single" w:sz="8" w:space="0" w:color="auto"/>
        <w:left w:val="single" w:sz="8" w:space="0" w:color="auto"/>
        <w:right w:val="single" w:sz="12"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1">
    <w:name w:val="xl161"/>
    <w:basedOn w:val="Normal"/>
    <w:rsid w:val="004A15FA"/>
    <w:pPr>
      <w:pBdr>
        <w:left w:val="single" w:sz="12"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2">
    <w:name w:val="xl162"/>
    <w:basedOn w:val="Normal"/>
    <w:rsid w:val="004A15FA"/>
    <w:pPr>
      <w:pBdr>
        <w:left w:val="single" w:sz="8"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3">
    <w:name w:val="xl163"/>
    <w:basedOn w:val="Normal"/>
    <w:rsid w:val="004A15FA"/>
    <w:pPr>
      <w:pBdr>
        <w:left w:val="single" w:sz="8" w:space="0" w:color="auto"/>
        <w:right w:val="single" w:sz="12"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4">
    <w:name w:val="xl164"/>
    <w:basedOn w:val="Normal"/>
    <w:rsid w:val="004A15FA"/>
    <w:pPr>
      <w:pBdr>
        <w:left w:val="single" w:sz="12" w:space="0" w:color="auto"/>
        <w:bottom w:val="single" w:sz="8"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5">
    <w:name w:val="xl165"/>
    <w:basedOn w:val="Normal"/>
    <w:rsid w:val="004A15FA"/>
    <w:pPr>
      <w:pBdr>
        <w:left w:val="single" w:sz="8" w:space="0" w:color="auto"/>
        <w:bottom w:val="single" w:sz="8"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6">
    <w:name w:val="xl166"/>
    <w:basedOn w:val="Normal"/>
    <w:rsid w:val="004A15FA"/>
    <w:pPr>
      <w:pBdr>
        <w:left w:val="single" w:sz="8" w:space="0" w:color="auto"/>
        <w:bottom w:val="single" w:sz="8" w:space="0" w:color="auto"/>
        <w:right w:val="single" w:sz="12" w:space="0" w:color="auto"/>
      </w:pBdr>
      <w:shd w:val="clear" w:color="000000" w:fill="E6E6E6"/>
      <w:spacing w:before="100" w:beforeAutospacing="1" w:after="100" w:afterAutospacing="1"/>
      <w:jc w:val="center"/>
      <w:textAlignment w:val="center"/>
    </w:pPr>
    <w:rPr>
      <w:rFonts w:eastAsia="Times New Roman" w:cs="Times New Roman"/>
      <w:color w:val="000000"/>
      <w:sz w:val="20"/>
      <w:szCs w:val="20"/>
    </w:rPr>
  </w:style>
  <w:style w:type="paragraph" w:customStyle="1" w:styleId="xl167">
    <w:name w:val="xl167"/>
    <w:basedOn w:val="Normal"/>
    <w:rsid w:val="004A15FA"/>
    <w:pPr>
      <w:pBdr>
        <w:left w:val="single" w:sz="12"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68">
    <w:name w:val="xl168"/>
    <w:basedOn w:val="Normal"/>
    <w:rsid w:val="004A15FA"/>
    <w:pPr>
      <w:pBdr>
        <w:left w:val="single" w:sz="8"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69">
    <w:name w:val="xl169"/>
    <w:basedOn w:val="Normal"/>
    <w:rsid w:val="004A15FA"/>
    <w:pPr>
      <w:pBdr>
        <w:left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70">
    <w:name w:val="xl170"/>
    <w:basedOn w:val="Normal"/>
    <w:rsid w:val="004A15FA"/>
    <w:pPr>
      <w:pBdr>
        <w:left w:val="single" w:sz="12" w:space="0" w:color="auto"/>
        <w:bottom w:val="single" w:sz="8"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71">
    <w:name w:val="xl171"/>
    <w:basedOn w:val="Normal"/>
    <w:rsid w:val="004A15FA"/>
    <w:pPr>
      <w:pBdr>
        <w:left w:val="single" w:sz="8" w:space="0" w:color="auto"/>
        <w:bottom w:val="single" w:sz="8"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72">
    <w:name w:val="xl172"/>
    <w:basedOn w:val="Normal"/>
    <w:rsid w:val="004A15FA"/>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color w:val="000000"/>
      <w:sz w:val="20"/>
      <w:szCs w:val="20"/>
    </w:rPr>
  </w:style>
  <w:style w:type="paragraph" w:customStyle="1" w:styleId="xl173">
    <w:name w:val="xl173"/>
    <w:basedOn w:val="Normal"/>
    <w:rsid w:val="004A15FA"/>
    <w:pPr>
      <w:pBdr>
        <w:top w:val="single" w:sz="8" w:space="0" w:color="auto"/>
        <w:lef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4">
    <w:name w:val="xl174"/>
    <w:basedOn w:val="Normal"/>
    <w:rsid w:val="004A15FA"/>
    <w:pPr>
      <w:pBdr>
        <w:top w:val="single" w:sz="8" w:space="0" w:color="auto"/>
        <w:left w:val="single" w:sz="8"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5">
    <w:name w:val="xl175"/>
    <w:basedOn w:val="Normal"/>
    <w:rsid w:val="004A15FA"/>
    <w:pPr>
      <w:pBdr>
        <w:top w:val="single" w:sz="8" w:space="0" w:color="auto"/>
        <w:left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6">
    <w:name w:val="xl176"/>
    <w:basedOn w:val="Normal"/>
    <w:rsid w:val="004A15FA"/>
    <w:pPr>
      <w:pBdr>
        <w:lef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7">
    <w:name w:val="xl177"/>
    <w:basedOn w:val="Normal"/>
    <w:rsid w:val="004A15FA"/>
    <w:pPr>
      <w:pBdr>
        <w:left w:val="single" w:sz="8"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8">
    <w:name w:val="xl178"/>
    <w:basedOn w:val="Normal"/>
    <w:rsid w:val="004A15FA"/>
    <w:pPr>
      <w:pBdr>
        <w:left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79">
    <w:name w:val="xl179"/>
    <w:basedOn w:val="Normal"/>
    <w:rsid w:val="004A15FA"/>
    <w:pPr>
      <w:pBdr>
        <w:left w:val="single" w:sz="12" w:space="0" w:color="auto"/>
        <w:bottom w:val="single" w:sz="8"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80">
    <w:name w:val="xl180"/>
    <w:basedOn w:val="Normal"/>
    <w:rsid w:val="004A15FA"/>
    <w:pPr>
      <w:pBdr>
        <w:left w:val="single" w:sz="8" w:space="0" w:color="auto"/>
        <w:bottom w:val="single" w:sz="8"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81">
    <w:name w:val="xl181"/>
    <w:basedOn w:val="Normal"/>
    <w:rsid w:val="004A15FA"/>
    <w:pPr>
      <w:pBdr>
        <w:left w:val="single" w:sz="8" w:space="0" w:color="auto"/>
        <w:bottom w:val="single" w:sz="8" w:space="0" w:color="auto"/>
        <w:right w:val="single" w:sz="12" w:space="0" w:color="auto"/>
      </w:pBdr>
      <w:shd w:val="clear" w:color="000000" w:fill="F2F2F2"/>
      <w:spacing w:before="100" w:beforeAutospacing="1" w:after="100" w:afterAutospacing="1"/>
      <w:jc w:val="center"/>
      <w:textAlignment w:val="center"/>
    </w:pPr>
    <w:rPr>
      <w:rFonts w:eastAsia="Times New Roman" w:cs="Times New Roman"/>
      <w:sz w:val="20"/>
      <w:szCs w:val="20"/>
    </w:rPr>
  </w:style>
  <w:style w:type="paragraph" w:customStyle="1" w:styleId="xl182">
    <w:name w:val="xl182"/>
    <w:basedOn w:val="Normal"/>
    <w:rsid w:val="004A15FA"/>
    <w:pPr>
      <w:pBdr>
        <w:top w:val="single" w:sz="8" w:space="0" w:color="auto"/>
        <w:left w:val="single" w:sz="12" w:space="0" w:color="auto"/>
        <w:bottom w:val="single" w:sz="8"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3">
    <w:name w:val="xl183"/>
    <w:basedOn w:val="Normal"/>
    <w:rsid w:val="004A15FA"/>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4">
    <w:name w:val="xl184"/>
    <w:basedOn w:val="Normal"/>
    <w:rsid w:val="004A15FA"/>
    <w:pPr>
      <w:pBdr>
        <w:top w:val="single" w:sz="8" w:space="0" w:color="auto"/>
        <w:left w:val="single" w:sz="8" w:space="0" w:color="auto"/>
        <w:bottom w:val="single" w:sz="8" w:space="0" w:color="auto"/>
        <w:right w:val="single" w:sz="12"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5">
    <w:name w:val="xl185"/>
    <w:basedOn w:val="Normal"/>
    <w:rsid w:val="004A15FA"/>
    <w:pPr>
      <w:pBdr>
        <w:top w:val="single" w:sz="8" w:space="0" w:color="auto"/>
        <w:left w:val="single" w:sz="12" w:space="0" w:color="auto"/>
        <w:bottom w:val="single" w:sz="12"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6">
    <w:name w:val="xl186"/>
    <w:basedOn w:val="Normal"/>
    <w:rsid w:val="004A15FA"/>
    <w:pPr>
      <w:pBdr>
        <w:top w:val="single" w:sz="8" w:space="0" w:color="auto"/>
        <w:left w:val="single" w:sz="8" w:space="0" w:color="auto"/>
        <w:bottom w:val="single" w:sz="12"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7">
    <w:name w:val="xl187"/>
    <w:basedOn w:val="Normal"/>
    <w:rsid w:val="004A15FA"/>
    <w:pPr>
      <w:pBdr>
        <w:top w:val="single" w:sz="8" w:space="0" w:color="auto"/>
        <w:left w:val="single" w:sz="8" w:space="0" w:color="auto"/>
        <w:bottom w:val="single" w:sz="12" w:space="0" w:color="auto"/>
        <w:right w:val="single" w:sz="12"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188">
    <w:name w:val="xl188"/>
    <w:basedOn w:val="Normal"/>
    <w:rsid w:val="004A15FA"/>
    <w:pPr>
      <w:pBdr>
        <w:top w:val="single" w:sz="12" w:space="0" w:color="auto"/>
        <w:left w:val="single" w:sz="12" w:space="0" w:color="auto"/>
        <w:bottom w:val="single" w:sz="8" w:space="0" w:color="auto"/>
      </w:pBdr>
      <w:shd w:val="clear" w:color="000000" w:fill="A5A5A5"/>
      <w:spacing w:before="100" w:beforeAutospacing="1" w:after="100" w:afterAutospacing="1"/>
      <w:jc w:val="center"/>
      <w:textAlignment w:val="center"/>
    </w:pPr>
    <w:rPr>
      <w:rFonts w:eastAsia="Times New Roman" w:cs="Times New Roman"/>
      <w:b/>
      <w:bCs/>
      <w:szCs w:val="24"/>
    </w:rPr>
  </w:style>
  <w:style w:type="paragraph" w:customStyle="1" w:styleId="xl189">
    <w:name w:val="xl189"/>
    <w:basedOn w:val="Normal"/>
    <w:rsid w:val="004A15FA"/>
    <w:pPr>
      <w:pBdr>
        <w:top w:val="single" w:sz="12" w:space="0" w:color="auto"/>
        <w:bottom w:val="single" w:sz="8" w:space="0" w:color="auto"/>
      </w:pBdr>
      <w:shd w:val="clear" w:color="000000" w:fill="A5A5A5"/>
      <w:spacing w:before="100" w:beforeAutospacing="1" w:after="100" w:afterAutospacing="1"/>
      <w:jc w:val="center"/>
      <w:textAlignment w:val="center"/>
    </w:pPr>
    <w:rPr>
      <w:rFonts w:eastAsia="Times New Roman" w:cs="Times New Roman"/>
      <w:b/>
      <w:bCs/>
      <w:szCs w:val="24"/>
    </w:rPr>
  </w:style>
  <w:style w:type="paragraph" w:customStyle="1" w:styleId="xl190">
    <w:name w:val="xl190"/>
    <w:basedOn w:val="Normal"/>
    <w:rsid w:val="004A15FA"/>
    <w:pPr>
      <w:pBdr>
        <w:top w:val="single" w:sz="12" w:space="0" w:color="auto"/>
        <w:bottom w:val="single" w:sz="8" w:space="0" w:color="auto"/>
        <w:right w:val="single" w:sz="12" w:space="0" w:color="auto"/>
      </w:pBdr>
      <w:spacing w:before="100" w:beforeAutospacing="1" w:after="100" w:afterAutospacing="1"/>
      <w:jc w:val="center"/>
      <w:textAlignment w:val="center"/>
    </w:pPr>
    <w:rPr>
      <w:rFonts w:eastAsia="Times New Roman" w:cs="Times New Roman"/>
      <w:szCs w:val="24"/>
    </w:rPr>
  </w:style>
  <w:style w:type="paragraph" w:customStyle="1" w:styleId="xl191">
    <w:name w:val="xl191"/>
    <w:basedOn w:val="Normal"/>
    <w:rsid w:val="004A15FA"/>
    <w:pPr>
      <w:pBdr>
        <w:top w:val="single" w:sz="12" w:space="0" w:color="auto"/>
        <w:left w:val="single" w:sz="12" w:space="0" w:color="auto"/>
        <w:right w:val="single" w:sz="12" w:space="0" w:color="auto"/>
      </w:pBdr>
      <w:shd w:val="clear" w:color="000000" w:fill="A5A5A5"/>
      <w:spacing w:before="100" w:beforeAutospacing="1" w:after="100" w:afterAutospacing="1"/>
      <w:jc w:val="center"/>
      <w:textAlignment w:val="center"/>
    </w:pPr>
    <w:rPr>
      <w:rFonts w:eastAsia="Times New Roman" w:cs="Times New Roman"/>
      <w:b/>
      <w:bCs/>
      <w:color w:val="000000"/>
      <w:sz w:val="20"/>
      <w:szCs w:val="20"/>
    </w:rPr>
  </w:style>
  <w:style w:type="paragraph" w:customStyle="1" w:styleId="xl192">
    <w:name w:val="xl192"/>
    <w:basedOn w:val="Normal"/>
    <w:rsid w:val="004A15FA"/>
    <w:pPr>
      <w:pBdr>
        <w:left w:val="single" w:sz="12" w:space="0" w:color="auto"/>
        <w:bottom w:val="single" w:sz="8" w:space="0" w:color="auto"/>
        <w:right w:val="single" w:sz="12" w:space="0" w:color="auto"/>
      </w:pBdr>
      <w:spacing w:before="100" w:beforeAutospacing="1" w:after="100" w:afterAutospacing="1"/>
      <w:textAlignment w:val="center"/>
    </w:pPr>
    <w:rPr>
      <w:rFonts w:eastAsia="Times New Roman" w:cs="Times New Roman"/>
      <w:szCs w:val="24"/>
    </w:rPr>
  </w:style>
  <w:style w:type="paragraph" w:customStyle="1" w:styleId="xl193">
    <w:name w:val="xl193"/>
    <w:basedOn w:val="Normal"/>
    <w:rsid w:val="004A15FA"/>
    <w:pPr>
      <w:pBdr>
        <w:left w:val="single" w:sz="12" w:space="0" w:color="auto"/>
        <w:bottom w:val="single" w:sz="8"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4">
    <w:name w:val="xl194"/>
    <w:basedOn w:val="Normal"/>
    <w:rsid w:val="004A15FA"/>
    <w:pPr>
      <w:pBdr>
        <w:left w:val="single" w:sz="8" w:space="0" w:color="auto"/>
        <w:bottom w:val="single" w:sz="8"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5">
    <w:name w:val="xl195"/>
    <w:basedOn w:val="Normal"/>
    <w:rsid w:val="004A15FA"/>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6">
    <w:name w:val="xl196"/>
    <w:basedOn w:val="Normal"/>
    <w:rsid w:val="004A15FA"/>
    <w:pPr>
      <w:pBdr>
        <w:left w:val="single" w:sz="12" w:space="0" w:color="auto"/>
        <w:bottom w:val="single" w:sz="8"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7">
    <w:name w:val="xl197"/>
    <w:basedOn w:val="Normal"/>
    <w:rsid w:val="004A15FA"/>
    <w:pPr>
      <w:pBdr>
        <w:left w:val="single" w:sz="8" w:space="0" w:color="auto"/>
        <w:bottom w:val="single" w:sz="8"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paragraph" w:customStyle="1" w:styleId="xl198">
    <w:name w:val="xl198"/>
    <w:basedOn w:val="Normal"/>
    <w:rsid w:val="004A15FA"/>
    <w:pPr>
      <w:pBdr>
        <w:left w:val="single" w:sz="8" w:space="0" w:color="auto"/>
        <w:bottom w:val="single" w:sz="8" w:space="0" w:color="auto"/>
        <w:right w:val="single" w:sz="12" w:space="0" w:color="auto"/>
      </w:pBdr>
      <w:shd w:val="clear" w:color="000000" w:fill="808080"/>
      <w:spacing w:before="100" w:beforeAutospacing="1" w:after="100" w:afterAutospacing="1"/>
      <w:jc w:val="center"/>
      <w:textAlignment w:val="center"/>
    </w:pPr>
    <w:rPr>
      <w:rFonts w:eastAsia="Times New Roman" w:cs="Times New Roman"/>
      <w:sz w:val="20"/>
      <w:szCs w:val="20"/>
    </w:rPr>
  </w:style>
  <w:style w:type="character" w:customStyle="1" w:styleId="EmailStyle571">
    <w:name w:val="EmailStyle571"/>
    <w:semiHidden/>
    <w:rsid w:val="004A15FA"/>
    <w:rPr>
      <w:rFonts w:ascii="Arial" w:hAnsi="Arial" w:cs="Arial" w:hint="default"/>
      <w:color w:val="auto"/>
      <w:sz w:val="20"/>
      <w:szCs w:val="20"/>
    </w:rPr>
  </w:style>
  <w:style w:type="paragraph" w:customStyle="1" w:styleId="LightGrid-Accent31">
    <w:name w:val="Light Grid - Accent 31"/>
    <w:basedOn w:val="Normal"/>
    <w:uiPriority w:val="34"/>
    <w:qFormat/>
    <w:rsid w:val="004A15FA"/>
    <w:pPr>
      <w:ind w:left="720"/>
      <w:contextualSpacing/>
    </w:pPr>
    <w:rPr>
      <w:rFonts w:ascii="Calibri" w:eastAsia="Calibri" w:hAnsi="Calibri" w:cs="Times New Roman"/>
      <w:sz w:val="22"/>
    </w:rPr>
  </w:style>
  <w:style w:type="paragraph" w:customStyle="1" w:styleId="LightList-Accent31">
    <w:name w:val="Light List - Accent 31"/>
    <w:hidden/>
    <w:rsid w:val="004A15FA"/>
    <w:rPr>
      <w:rFonts w:ascii="Times New Roman" w:eastAsia="Times New Roman" w:hAnsi="Times New Roman" w:cs="Times New Roman"/>
      <w:sz w:val="24"/>
      <w:szCs w:val="24"/>
    </w:rPr>
  </w:style>
  <w:style w:type="character" w:customStyle="1" w:styleId="EmailStyle3431">
    <w:name w:val="EmailStyle3431"/>
    <w:semiHidden/>
    <w:rsid w:val="004A15FA"/>
    <w:rPr>
      <w:rFonts w:ascii="Arial" w:hAnsi="Arial" w:cs="Arial" w:hint="default"/>
      <w:color w:val="auto"/>
      <w:sz w:val="20"/>
      <w:szCs w:val="20"/>
    </w:rPr>
  </w:style>
  <w:style w:type="character" w:customStyle="1" w:styleId="EmailStyle3581">
    <w:name w:val="EmailStyle3581"/>
    <w:semiHidden/>
    <w:rsid w:val="004A15FA"/>
    <w:rPr>
      <w:rFonts w:ascii="Arial" w:hAnsi="Arial" w:cs="Arial" w:hint="default"/>
      <w:color w:val="auto"/>
      <w:sz w:val="20"/>
      <w:szCs w:val="20"/>
    </w:rPr>
  </w:style>
  <w:style w:type="character" w:customStyle="1" w:styleId="EmailStyle3591">
    <w:name w:val="EmailStyle3591"/>
    <w:semiHidden/>
    <w:rsid w:val="004A15FA"/>
    <w:rPr>
      <w:rFonts w:ascii="Arial" w:hAnsi="Arial" w:cs="Arial" w:hint="default"/>
      <w:color w:val="auto"/>
      <w:sz w:val="20"/>
      <w:szCs w:val="20"/>
    </w:rPr>
  </w:style>
  <w:style w:type="table" w:styleId="ColorfulGrid-Accent6">
    <w:name w:val="Colorful Grid Accent 6"/>
    <w:basedOn w:val="TableNormal"/>
    <w:uiPriority w:val="71"/>
    <w:rsid w:val="004A15FA"/>
    <w:rPr>
      <w:rFonts w:ascii="Times New Roman" w:eastAsia="Times New Roman" w:hAnsi="Times New Roman" w:cs="Times New Roman"/>
      <w:color w:val="000000"/>
      <w:sz w:val="24"/>
      <w:szCs w:val="24"/>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3691">
    <w:name w:val="EmailStyle3691"/>
    <w:semiHidden/>
    <w:rsid w:val="004A15FA"/>
    <w:rPr>
      <w:rFonts w:ascii="Arial" w:hAnsi="Arial" w:cs="Arial" w:hint="default"/>
      <w:color w:val="auto"/>
      <w:sz w:val="20"/>
      <w:szCs w:val="20"/>
    </w:rPr>
  </w:style>
  <w:style w:type="paragraph" w:customStyle="1" w:styleId="DarkList-Accent51">
    <w:name w:val="Dark List - Accent 51"/>
    <w:basedOn w:val="Normal"/>
    <w:uiPriority w:val="34"/>
    <w:qFormat/>
    <w:rsid w:val="004A15FA"/>
    <w:pPr>
      <w:ind w:left="720"/>
    </w:pPr>
    <w:rPr>
      <w:rFonts w:eastAsia="Times New Roman" w:cs="Times New Roman"/>
      <w:szCs w:val="24"/>
    </w:rPr>
  </w:style>
  <w:style w:type="paragraph" w:customStyle="1" w:styleId="content">
    <w:name w:val="content"/>
    <w:basedOn w:val="Normal"/>
    <w:rsid w:val="004A15FA"/>
    <w:pPr>
      <w:spacing w:before="100" w:beforeAutospacing="1" w:after="100" w:afterAutospacing="1"/>
      <w:ind w:left="225" w:right="225"/>
    </w:pPr>
    <w:rPr>
      <w:rFonts w:ascii="Verdana" w:eastAsia="Times New Roman" w:hAnsi="Verdana" w:cs="Times New Roman"/>
      <w:color w:val="757575"/>
      <w:sz w:val="17"/>
      <w:szCs w:val="17"/>
    </w:rPr>
  </w:style>
  <w:style w:type="character" w:customStyle="1" w:styleId="CharChar2">
    <w:name w:val="Char Char2"/>
    <w:locked/>
    <w:rsid w:val="004A15FA"/>
    <w:rPr>
      <w:b/>
      <w:sz w:val="24"/>
      <w:lang w:val="en-GB" w:eastAsia="en-US" w:bidi="ar-SA"/>
    </w:rPr>
  </w:style>
  <w:style w:type="character" w:customStyle="1" w:styleId="style32">
    <w:name w:val="style32"/>
    <w:basedOn w:val="DefaultParagraphFont"/>
    <w:rsid w:val="004A15FA"/>
  </w:style>
  <w:style w:type="paragraph" w:customStyle="1" w:styleId="MediumGrid3-Accent51">
    <w:name w:val="Medium Grid 3 - Accent 51"/>
    <w:hidden/>
    <w:uiPriority w:val="99"/>
    <w:semiHidden/>
    <w:rsid w:val="004A15FA"/>
    <w:rPr>
      <w:rFonts w:ascii="Times New Roman" w:eastAsia="Times New Roman" w:hAnsi="Times New Roman" w:cs="Times New Roman"/>
      <w:sz w:val="24"/>
      <w:szCs w:val="24"/>
    </w:rPr>
  </w:style>
  <w:style w:type="paragraph" w:customStyle="1" w:styleId="NoSpacing2">
    <w:name w:val="No Spacing2"/>
    <w:uiPriority w:val="99"/>
    <w:qFormat/>
    <w:rsid w:val="004A15FA"/>
    <w:rPr>
      <w:rFonts w:ascii="Times New Roman" w:eastAsia="Times New Roman" w:hAnsi="Times New Roman" w:cs="Times New Roman"/>
      <w:sz w:val="24"/>
      <w:szCs w:val="24"/>
    </w:rPr>
  </w:style>
  <w:style w:type="character" w:customStyle="1" w:styleId="heading3char0">
    <w:name w:val="heading3char"/>
    <w:basedOn w:val="DefaultParagraphFont"/>
    <w:rsid w:val="004A15FA"/>
  </w:style>
  <w:style w:type="character" w:customStyle="1" w:styleId="heading4char10">
    <w:name w:val="heading4char1"/>
    <w:basedOn w:val="DefaultParagraphFont"/>
    <w:rsid w:val="004A15FA"/>
  </w:style>
  <w:style w:type="paragraph" w:customStyle="1" w:styleId="LightList-Accent51">
    <w:name w:val="Light List - Accent 51"/>
    <w:basedOn w:val="Normal"/>
    <w:uiPriority w:val="34"/>
    <w:qFormat/>
    <w:rsid w:val="004A15FA"/>
    <w:pPr>
      <w:ind w:left="720"/>
    </w:pPr>
    <w:rPr>
      <w:rFonts w:eastAsia="Times New Roman" w:cs="Times New Roman"/>
      <w:szCs w:val="24"/>
    </w:rPr>
  </w:style>
  <w:style w:type="paragraph" w:customStyle="1" w:styleId="LightShading-Accent51">
    <w:name w:val="Light Shading - Accent 51"/>
    <w:hidden/>
    <w:uiPriority w:val="99"/>
    <w:rsid w:val="004A15FA"/>
    <w:rPr>
      <w:rFonts w:ascii="Times New Roman" w:eastAsia="Times New Roman" w:hAnsi="Times New Roman" w:cs="Times New Roman"/>
      <w:sz w:val="24"/>
      <w:szCs w:val="24"/>
    </w:rPr>
  </w:style>
  <w:style w:type="paragraph" w:customStyle="1" w:styleId="ColorfulShading-Accent31">
    <w:name w:val="Colorful Shading - Accent 31"/>
    <w:basedOn w:val="Normal"/>
    <w:uiPriority w:val="34"/>
    <w:qFormat/>
    <w:rsid w:val="004A15FA"/>
    <w:pPr>
      <w:ind w:left="720"/>
    </w:pPr>
    <w:rPr>
      <w:rFonts w:eastAsia="Times New Roman" w:cs="Times New Roman"/>
      <w:szCs w:val="24"/>
    </w:rPr>
  </w:style>
  <w:style w:type="paragraph" w:customStyle="1" w:styleId="DarkList-Accent31">
    <w:name w:val="Dark List - Accent 31"/>
    <w:hidden/>
    <w:uiPriority w:val="71"/>
    <w:rsid w:val="004A15FA"/>
    <w:rPr>
      <w:rFonts w:ascii="Times New Roman" w:eastAsia="Times New Roman" w:hAnsi="Times New Roman" w:cs="Times New Roman"/>
      <w:sz w:val="24"/>
      <w:szCs w:val="24"/>
    </w:rPr>
  </w:style>
  <w:style w:type="character" w:customStyle="1" w:styleId="CharChar15">
    <w:name w:val="Char Char15"/>
    <w:uiPriority w:val="99"/>
    <w:rsid w:val="004A15FA"/>
    <w:rPr>
      <w:rFonts w:eastAsia="Times New Roman" w:cs="Times New Roman"/>
      <w:bCs/>
      <w:i/>
      <w:sz w:val="28"/>
      <w:szCs w:val="28"/>
      <w:lang w:val="en-US" w:eastAsia="en-US" w:bidi="ar-SA"/>
    </w:rPr>
  </w:style>
  <w:style w:type="paragraph" w:customStyle="1" w:styleId="MediumList2-Accent21">
    <w:name w:val="Medium List 2 - Accent 21"/>
    <w:hidden/>
    <w:uiPriority w:val="99"/>
    <w:rsid w:val="004A15FA"/>
    <w:rPr>
      <w:rFonts w:ascii="Times New Roman" w:eastAsia="Times New Roman" w:hAnsi="Times New Roman" w:cs="Times New Roman"/>
      <w:sz w:val="24"/>
      <w:szCs w:val="24"/>
    </w:rPr>
  </w:style>
  <w:style w:type="character" w:customStyle="1" w:styleId="CharChar272">
    <w:name w:val="Char Char272"/>
    <w:uiPriority w:val="99"/>
    <w:locked/>
    <w:rsid w:val="004A15FA"/>
    <w:rPr>
      <w:rFonts w:ascii="Arial" w:hAnsi="Arial" w:cs="Arial"/>
      <w:b/>
      <w:bCs/>
      <w:kern w:val="32"/>
      <w:sz w:val="32"/>
      <w:szCs w:val="32"/>
    </w:rPr>
  </w:style>
  <w:style w:type="character" w:customStyle="1" w:styleId="CharChar262">
    <w:name w:val="Char Char262"/>
    <w:uiPriority w:val="99"/>
    <w:locked/>
    <w:rsid w:val="004A15FA"/>
    <w:rPr>
      <w:rFonts w:ascii="Arial" w:hAnsi="Arial" w:cs="Arial"/>
      <w:b/>
      <w:bCs/>
      <w:i/>
      <w:iCs/>
      <w:sz w:val="28"/>
      <w:szCs w:val="28"/>
    </w:rPr>
  </w:style>
  <w:style w:type="character" w:customStyle="1" w:styleId="CharChar252">
    <w:name w:val="Char Char252"/>
    <w:uiPriority w:val="99"/>
    <w:locked/>
    <w:rsid w:val="004A15FA"/>
    <w:rPr>
      <w:rFonts w:ascii="Arial" w:hAnsi="Arial" w:cs="Arial"/>
      <w:b/>
      <w:bCs/>
      <w:sz w:val="26"/>
      <w:szCs w:val="26"/>
    </w:rPr>
  </w:style>
  <w:style w:type="character" w:customStyle="1" w:styleId="CharChar242">
    <w:name w:val="Char Char242"/>
    <w:uiPriority w:val="99"/>
    <w:locked/>
    <w:rsid w:val="004A15FA"/>
    <w:rPr>
      <w:rFonts w:cs="Times New Roman"/>
      <w:b/>
      <w:bCs/>
      <w:i/>
      <w:iCs/>
      <w:sz w:val="26"/>
      <w:szCs w:val="26"/>
    </w:rPr>
  </w:style>
  <w:style w:type="character" w:customStyle="1" w:styleId="CharChar232">
    <w:name w:val="Char Char232"/>
    <w:uiPriority w:val="99"/>
    <w:locked/>
    <w:rsid w:val="004A15FA"/>
    <w:rPr>
      <w:rFonts w:cs="Times New Roman"/>
      <w:b/>
      <w:bCs/>
      <w:sz w:val="22"/>
      <w:szCs w:val="22"/>
    </w:rPr>
  </w:style>
  <w:style w:type="character" w:customStyle="1" w:styleId="CharChar222">
    <w:name w:val="Char Char222"/>
    <w:uiPriority w:val="99"/>
    <w:locked/>
    <w:rsid w:val="004A15FA"/>
    <w:rPr>
      <w:rFonts w:cs="Times New Roman"/>
      <w:sz w:val="24"/>
      <w:szCs w:val="24"/>
    </w:rPr>
  </w:style>
  <w:style w:type="character" w:customStyle="1" w:styleId="CharChar212">
    <w:name w:val="Char Char212"/>
    <w:uiPriority w:val="99"/>
    <w:locked/>
    <w:rsid w:val="004A15FA"/>
    <w:rPr>
      <w:rFonts w:cs="Times New Roman"/>
      <w:i/>
      <w:iCs/>
      <w:sz w:val="24"/>
      <w:szCs w:val="24"/>
    </w:rPr>
  </w:style>
  <w:style w:type="character" w:customStyle="1" w:styleId="CharChar202">
    <w:name w:val="Char Char202"/>
    <w:uiPriority w:val="99"/>
    <w:locked/>
    <w:rsid w:val="004A15FA"/>
    <w:rPr>
      <w:rFonts w:ascii="Arial" w:hAnsi="Arial" w:cs="Arial"/>
      <w:sz w:val="22"/>
      <w:szCs w:val="22"/>
    </w:rPr>
  </w:style>
  <w:style w:type="character" w:customStyle="1" w:styleId="CharChar182">
    <w:name w:val="Char Char182"/>
    <w:uiPriority w:val="99"/>
    <w:locked/>
    <w:rsid w:val="004A15FA"/>
    <w:rPr>
      <w:rFonts w:cs="Times New Roman"/>
      <w:sz w:val="24"/>
      <w:szCs w:val="24"/>
    </w:rPr>
  </w:style>
  <w:style w:type="character" w:customStyle="1" w:styleId="CharChar142">
    <w:name w:val="Char Char142"/>
    <w:uiPriority w:val="99"/>
    <w:locked/>
    <w:rsid w:val="004A15FA"/>
    <w:rPr>
      <w:rFonts w:cs="Times New Roman"/>
      <w:sz w:val="24"/>
      <w:szCs w:val="24"/>
    </w:rPr>
  </w:style>
  <w:style w:type="character" w:customStyle="1" w:styleId="CharChar112">
    <w:name w:val="Char Char112"/>
    <w:uiPriority w:val="99"/>
    <w:locked/>
    <w:rsid w:val="004A15FA"/>
    <w:rPr>
      <w:rFonts w:ascii="Cambria" w:hAnsi="Cambria" w:cs="Times New Roman"/>
      <w:sz w:val="24"/>
      <w:szCs w:val="24"/>
    </w:rPr>
  </w:style>
  <w:style w:type="character" w:customStyle="1" w:styleId="CharChar42">
    <w:name w:val="Char Char42"/>
    <w:uiPriority w:val="99"/>
    <w:locked/>
    <w:rsid w:val="004A15FA"/>
    <w:rPr>
      <w:rFonts w:ascii="Cambria" w:hAnsi="Cambria" w:cs="Times New Roman"/>
      <w:b/>
      <w:bCs/>
      <w:kern w:val="28"/>
      <w:sz w:val="32"/>
      <w:szCs w:val="32"/>
    </w:rPr>
  </w:style>
  <w:style w:type="character" w:customStyle="1" w:styleId="CharChar392">
    <w:name w:val="Char Char392"/>
    <w:uiPriority w:val="99"/>
    <w:rsid w:val="004A15FA"/>
    <w:rPr>
      <w:rFonts w:ascii="Arial" w:hAnsi="Arial" w:cs="Arial"/>
      <w:b/>
      <w:bCs/>
      <w:i/>
      <w:iCs/>
      <w:sz w:val="28"/>
      <w:szCs w:val="28"/>
    </w:rPr>
  </w:style>
  <w:style w:type="character" w:customStyle="1" w:styleId="bi">
    <w:name w:val="bi"/>
    <w:basedOn w:val="DefaultParagraphFont"/>
    <w:rsid w:val="004A15FA"/>
  </w:style>
  <w:style w:type="paragraph" w:customStyle="1" w:styleId="ColorfulShading-Accent12">
    <w:name w:val="Colorful Shading - Accent 12"/>
    <w:hidden/>
    <w:rsid w:val="004A15FA"/>
    <w:rPr>
      <w:rFonts w:ascii="Times New Roman" w:eastAsia="Times New Roman" w:hAnsi="Times New Roman" w:cs="Times New Roman"/>
      <w:sz w:val="24"/>
      <w:szCs w:val="24"/>
    </w:rPr>
  </w:style>
  <w:style w:type="paragraph" w:customStyle="1" w:styleId="ColorfulList-Accent12">
    <w:name w:val="Colorful List - Accent 12"/>
    <w:basedOn w:val="Normal"/>
    <w:uiPriority w:val="34"/>
    <w:qFormat/>
    <w:rsid w:val="004A15FA"/>
    <w:pPr>
      <w:ind w:left="720"/>
      <w:contextualSpacing/>
    </w:pPr>
    <w:rPr>
      <w:rFonts w:eastAsia="Times New Roman" w:cs="Times New Roman"/>
      <w:szCs w:val="24"/>
    </w:rPr>
  </w:style>
  <w:style w:type="paragraph" w:customStyle="1" w:styleId="NoSpacing3">
    <w:name w:val="No Spacing3"/>
    <w:uiPriority w:val="99"/>
    <w:qFormat/>
    <w:rsid w:val="004A15FA"/>
    <w:rPr>
      <w:rFonts w:ascii="Times New Roman" w:eastAsia="Times New Roman" w:hAnsi="Times New Roman" w:cs="Times New Roman"/>
      <w:sz w:val="24"/>
      <w:szCs w:val="24"/>
    </w:rPr>
  </w:style>
  <w:style w:type="character" w:customStyle="1" w:styleId="CharChar16">
    <w:name w:val="Char Char16"/>
    <w:rsid w:val="004A15FA"/>
    <w:rPr>
      <w:rFonts w:eastAsia="Times New Roman" w:cs="Times New Roman"/>
      <w:bCs/>
      <w:i/>
      <w:sz w:val="28"/>
      <w:szCs w:val="28"/>
      <w:lang w:val="en-US" w:eastAsia="en-US" w:bidi="ar-SA"/>
    </w:rPr>
  </w:style>
  <w:style w:type="character" w:customStyle="1" w:styleId="CharChar43">
    <w:name w:val="Char Char43"/>
    <w:locked/>
    <w:rsid w:val="004A15FA"/>
    <w:rPr>
      <w:rFonts w:ascii="Arial" w:hAnsi="Arial" w:cs="Arial"/>
      <w:b/>
      <w:bCs/>
      <w:i/>
      <w:iCs/>
      <w:sz w:val="28"/>
      <w:szCs w:val="28"/>
      <w:lang w:val="en-US" w:eastAsia="en-US" w:bidi="ar-SA"/>
    </w:rPr>
  </w:style>
  <w:style w:type="character" w:customStyle="1" w:styleId="CharChar273">
    <w:name w:val="Char Char273"/>
    <w:locked/>
    <w:rsid w:val="004A15FA"/>
    <w:rPr>
      <w:rFonts w:ascii="Arial" w:hAnsi="Arial" w:cs="Arial"/>
      <w:b/>
      <w:bCs/>
      <w:kern w:val="32"/>
      <w:sz w:val="32"/>
      <w:szCs w:val="32"/>
    </w:rPr>
  </w:style>
  <w:style w:type="character" w:customStyle="1" w:styleId="CharChar263">
    <w:name w:val="Char Char263"/>
    <w:locked/>
    <w:rsid w:val="004A15FA"/>
    <w:rPr>
      <w:rFonts w:ascii="Arial" w:hAnsi="Arial" w:cs="Arial"/>
      <w:b/>
      <w:bCs/>
      <w:i/>
      <w:iCs/>
      <w:sz w:val="28"/>
      <w:szCs w:val="28"/>
    </w:rPr>
  </w:style>
  <w:style w:type="character" w:customStyle="1" w:styleId="CharChar253">
    <w:name w:val="Char Char253"/>
    <w:locked/>
    <w:rsid w:val="004A15FA"/>
    <w:rPr>
      <w:rFonts w:ascii="Arial" w:hAnsi="Arial" w:cs="Arial"/>
      <w:b/>
      <w:bCs/>
      <w:sz w:val="26"/>
      <w:szCs w:val="26"/>
    </w:rPr>
  </w:style>
  <w:style w:type="character" w:customStyle="1" w:styleId="CharChar243">
    <w:name w:val="Char Char243"/>
    <w:locked/>
    <w:rsid w:val="004A15FA"/>
    <w:rPr>
      <w:rFonts w:cs="Times New Roman"/>
      <w:b/>
      <w:bCs/>
      <w:i/>
      <w:iCs/>
      <w:sz w:val="26"/>
      <w:szCs w:val="26"/>
    </w:rPr>
  </w:style>
  <w:style w:type="character" w:customStyle="1" w:styleId="CharChar233">
    <w:name w:val="Char Char233"/>
    <w:locked/>
    <w:rsid w:val="004A15FA"/>
    <w:rPr>
      <w:rFonts w:cs="Times New Roman"/>
      <w:b/>
      <w:bCs/>
      <w:sz w:val="22"/>
      <w:szCs w:val="22"/>
    </w:rPr>
  </w:style>
  <w:style w:type="character" w:customStyle="1" w:styleId="CharChar223">
    <w:name w:val="Char Char223"/>
    <w:locked/>
    <w:rsid w:val="004A15FA"/>
    <w:rPr>
      <w:rFonts w:cs="Times New Roman"/>
      <w:sz w:val="24"/>
      <w:szCs w:val="24"/>
    </w:rPr>
  </w:style>
  <w:style w:type="character" w:customStyle="1" w:styleId="CharChar213">
    <w:name w:val="Char Char213"/>
    <w:locked/>
    <w:rsid w:val="004A15FA"/>
    <w:rPr>
      <w:rFonts w:cs="Times New Roman"/>
      <w:i/>
      <w:iCs/>
      <w:sz w:val="24"/>
      <w:szCs w:val="24"/>
    </w:rPr>
  </w:style>
  <w:style w:type="character" w:customStyle="1" w:styleId="CharChar203">
    <w:name w:val="Char Char203"/>
    <w:locked/>
    <w:rsid w:val="004A15FA"/>
    <w:rPr>
      <w:rFonts w:ascii="Arial" w:hAnsi="Arial" w:cs="Arial"/>
      <w:sz w:val="22"/>
      <w:szCs w:val="22"/>
    </w:rPr>
  </w:style>
  <w:style w:type="character" w:customStyle="1" w:styleId="CharChar183">
    <w:name w:val="Char Char183"/>
    <w:locked/>
    <w:rsid w:val="004A15FA"/>
    <w:rPr>
      <w:rFonts w:cs="Times New Roman"/>
      <w:sz w:val="24"/>
      <w:szCs w:val="24"/>
    </w:rPr>
  </w:style>
  <w:style w:type="character" w:customStyle="1" w:styleId="CharChar143">
    <w:name w:val="Char Char143"/>
    <w:locked/>
    <w:rsid w:val="004A15FA"/>
    <w:rPr>
      <w:rFonts w:cs="Times New Roman"/>
      <w:sz w:val="24"/>
      <w:szCs w:val="24"/>
    </w:rPr>
  </w:style>
  <w:style w:type="character" w:customStyle="1" w:styleId="CharChar113">
    <w:name w:val="Char Char113"/>
    <w:locked/>
    <w:rsid w:val="004A15FA"/>
    <w:rPr>
      <w:rFonts w:ascii="Cambria" w:hAnsi="Cambria" w:cs="Times New Roman"/>
      <w:sz w:val="24"/>
      <w:szCs w:val="24"/>
    </w:rPr>
  </w:style>
  <w:style w:type="character" w:customStyle="1" w:styleId="CharChar393">
    <w:name w:val="Char Char393"/>
    <w:rsid w:val="004A15FA"/>
    <w:rPr>
      <w:rFonts w:ascii="Arial" w:eastAsia="Times New Roman" w:hAnsi="Arial" w:cs="Arial"/>
      <w:b/>
      <w:bCs/>
      <w:i/>
      <w:iCs/>
      <w:sz w:val="28"/>
      <w:szCs w:val="28"/>
    </w:rPr>
  </w:style>
  <w:style w:type="paragraph" w:customStyle="1" w:styleId="LightList-Accent32">
    <w:name w:val="Light List - Accent 32"/>
    <w:hidden/>
    <w:rsid w:val="004A15FA"/>
    <w:rPr>
      <w:rFonts w:ascii="Times New Roman" w:eastAsia="Times New Roman" w:hAnsi="Times New Roman" w:cs="Times New Roman"/>
      <w:sz w:val="24"/>
      <w:szCs w:val="24"/>
    </w:rPr>
  </w:style>
  <w:style w:type="paragraph" w:customStyle="1" w:styleId="LightGrid-Accent32">
    <w:name w:val="Light Grid - Accent 32"/>
    <w:basedOn w:val="Normal"/>
    <w:uiPriority w:val="34"/>
    <w:qFormat/>
    <w:rsid w:val="004A15FA"/>
    <w:pPr>
      <w:ind w:left="720"/>
      <w:contextualSpacing/>
    </w:pPr>
    <w:rPr>
      <w:rFonts w:eastAsia="Times New Roman" w:cs="Times New Roman"/>
      <w:szCs w:val="24"/>
    </w:rPr>
  </w:style>
  <w:style w:type="paragraph" w:customStyle="1" w:styleId="NoSpacing4">
    <w:name w:val="No Spacing4"/>
    <w:uiPriority w:val="99"/>
    <w:qFormat/>
    <w:rsid w:val="004A15FA"/>
    <w:rPr>
      <w:rFonts w:ascii="Times New Roman" w:eastAsia="Times New Roman" w:hAnsi="Times New Roman" w:cs="Times New Roman"/>
      <w:sz w:val="24"/>
      <w:szCs w:val="24"/>
    </w:rPr>
  </w:style>
  <w:style w:type="paragraph" w:customStyle="1" w:styleId="MediumGrid1-Accent22">
    <w:name w:val="Medium Grid 1 - Accent 22"/>
    <w:basedOn w:val="Normal"/>
    <w:uiPriority w:val="34"/>
    <w:qFormat/>
    <w:rsid w:val="004A15FA"/>
    <w:pPr>
      <w:ind w:left="720"/>
      <w:contextualSpacing/>
    </w:pPr>
    <w:rPr>
      <w:rFonts w:eastAsia="Times New Roman" w:cs="Times New Roman"/>
      <w:szCs w:val="24"/>
    </w:rPr>
  </w:style>
  <w:style w:type="character" w:customStyle="1" w:styleId="CharChar19">
    <w:name w:val="Char Char19"/>
    <w:rsid w:val="004A15FA"/>
    <w:rPr>
      <w:rFonts w:eastAsia="Times"/>
      <w:bCs/>
      <w:i/>
      <w:sz w:val="24"/>
      <w:szCs w:val="28"/>
      <w:lang w:val="en-US" w:eastAsia="en-US" w:bidi="ar-SA"/>
    </w:rPr>
  </w:style>
  <w:style w:type="character" w:customStyle="1" w:styleId="CharChar275">
    <w:name w:val="Char Char275"/>
    <w:locked/>
    <w:rsid w:val="004A15FA"/>
    <w:rPr>
      <w:rFonts w:ascii="Arial" w:hAnsi="Arial" w:cs="Arial"/>
      <w:b/>
      <w:bCs/>
      <w:kern w:val="32"/>
      <w:sz w:val="32"/>
      <w:szCs w:val="32"/>
    </w:rPr>
  </w:style>
  <w:style w:type="character" w:customStyle="1" w:styleId="CharChar265">
    <w:name w:val="Char Char265"/>
    <w:locked/>
    <w:rsid w:val="004A15FA"/>
    <w:rPr>
      <w:rFonts w:ascii="Arial" w:hAnsi="Arial" w:cs="Arial"/>
      <w:b/>
      <w:bCs/>
      <w:i/>
      <w:iCs/>
      <w:sz w:val="28"/>
      <w:szCs w:val="28"/>
    </w:rPr>
  </w:style>
  <w:style w:type="character" w:customStyle="1" w:styleId="CharChar255">
    <w:name w:val="Char Char255"/>
    <w:locked/>
    <w:rsid w:val="004A15FA"/>
    <w:rPr>
      <w:rFonts w:ascii="Arial" w:hAnsi="Arial" w:cs="Arial"/>
      <w:b/>
      <w:bCs/>
      <w:sz w:val="26"/>
      <w:szCs w:val="26"/>
    </w:rPr>
  </w:style>
  <w:style w:type="character" w:customStyle="1" w:styleId="CharChar245">
    <w:name w:val="Char Char245"/>
    <w:locked/>
    <w:rsid w:val="004A15FA"/>
    <w:rPr>
      <w:rFonts w:cs="Times New Roman"/>
      <w:b/>
      <w:bCs/>
      <w:i/>
      <w:iCs/>
      <w:sz w:val="26"/>
      <w:szCs w:val="26"/>
    </w:rPr>
  </w:style>
  <w:style w:type="character" w:customStyle="1" w:styleId="CharChar235">
    <w:name w:val="Char Char235"/>
    <w:locked/>
    <w:rsid w:val="004A15FA"/>
    <w:rPr>
      <w:rFonts w:cs="Times New Roman"/>
      <w:b/>
      <w:bCs/>
      <w:sz w:val="22"/>
      <w:szCs w:val="22"/>
    </w:rPr>
  </w:style>
  <w:style w:type="character" w:customStyle="1" w:styleId="CharChar225">
    <w:name w:val="Char Char225"/>
    <w:locked/>
    <w:rsid w:val="004A15FA"/>
    <w:rPr>
      <w:rFonts w:cs="Times New Roman"/>
      <w:sz w:val="24"/>
      <w:szCs w:val="24"/>
    </w:rPr>
  </w:style>
  <w:style w:type="character" w:customStyle="1" w:styleId="CharChar215">
    <w:name w:val="Char Char215"/>
    <w:locked/>
    <w:rsid w:val="004A15FA"/>
    <w:rPr>
      <w:rFonts w:cs="Times New Roman"/>
      <w:i/>
      <w:iCs/>
      <w:sz w:val="24"/>
      <w:szCs w:val="24"/>
    </w:rPr>
  </w:style>
  <w:style w:type="character" w:customStyle="1" w:styleId="CharChar205">
    <w:name w:val="Char Char205"/>
    <w:locked/>
    <w:rsid w:val="004A15FA"/>
    <w:rPr>
      <w:rFonts w:ascii="Arial" w:hAnsi="Arial" w:cs="Arial"/>
      <w:sz w:val="22"/>
      <w:szCs w:val="22"/>
    </w:rPr>
  </w:style>
  <w:style w:type="character" w:customStyle="1" w:styleId="CharChar185">
    <w:name w:val="Char Char185"/>
    <w:locked/>
    <w:rsid w:val="004A15FA"/>
    <w:rPr>
      <w:rFonts w:cs="Times New Roman"/>
      <w:sz w:val="24"/>
      <w:szCs w:val="24"/>
    </w:rPr>
  </w:style>
  <w:style w:type="character" w:customStyle="1" w:styleId="CharChar145">
    <w:name w:val="Char Char145"/>
    <w:locked/>
    <w:rsid w:val="004A15FA"/>
    <w:rPr>
      <w:rFonts w:cs="Times New Roman"/>
      <w:sz w:val="24"/>
      <w:szCs w:val="24"/>
    </w:rPr>
  </w:style>
  <w:style w:type="character" w:customStyle="1" w:styleId="CharChar115">
    <w:name w:val="Char Char115"/>
    <w:locked/>
    <w:rsid w:val="004A15FA"/>
    <w:rPr>
      <w:rFonts w:ascii="Cambria" w:hAnsi="Cambria" w:cs="Times New Roman"/>
      <w:sz w:val="24"/>
      <w:szCs w:val="24"/>
    </w:rPr>
  </w:style>
  <w:style w:type="character" w:customStyle="1" w:styleId="CharChar45">
    <w:name w:val="Char Char45"/>
    <w:locked/>
    <w:rsid w:val="004A15FA"/>
    <w:rPr>
      <w:rFonts w:ascii="Cambria" w:hAnsi="Cambria" w:cs="Times New Roman"/>
      <w:b/>
      <w:bCs/>
      <w:kern w:val="28"/>
      <w:sz w:val="32"/>
      <w:szCs w:val="32"/>
    </w:rPr>
  </w:style>
  <w:style w:type="character" w:customStyle="1" w:styleId="CharChar395">
    <w:name w:val="Char Char395"/>
    <w:rsid w:val="004A15FA"/>
    <w:rPr>
      <w:rFonts w:ascii="Arial" w:eastAsia="Times New Roman" w:hAnsi="Arial" w:cs="Arial"/>
      <w:b/>
      <w:bCs/>
      <w:i/>
      <w:iCs/>
      <w:sz w:val="28"/>
      <w:szCs w:val="28"/>
    </w:rPr>
  </w:style>
  <w:style w:type="paragraph" w:customStyle="1" w:styleId="ColorfulList-Accent13">
    <w:name w:val="Colorful List - Accent 13"/>
    <w:basedOn w:val="Normal"/>
    <w:uiPriority w:val="34"/>
    <w:qFormat/>
    <w:rsid w:val="004A15FA"/>
    <w:pPr>
      <w:ind w:left="720"/>
      <w:contextualSpacing/>
    </w:pPr>
    <w:rPr>
      <w:rFonts w:eastAsia="Times New Roman" w:cs="Times New Roman"/>
      <w:szCs w:val="24"/>
    </w:rPr>
  </w:style>
  <w:style w:type="paragraph" w:customStyle="1" w:styleId="ColorfulList-Accent14">
    <w:name w:val="Colorful List - Accent 14"/>
    <w:basedOn w:val="Normal"/>
    <w:uiPriority w:val="99"/>
    <w:qFormat/>
    <w:rsid w:val="004A15FA"/>
    <w:pPr>
      <w:spacing w:after="200" w:line="276" w:lineRule="auto"/>
      <w:ind w:left="720"/>
      <w:contextualSpacing/>
      <w:jc w:val="both"/>
    </w:pPr>
    <w:rPr>
      <w:rFonts w:eastAsia="Calibri" w:cs="Times New Roman"/>
      <w:sz w:val="22"/>
    </w:rPr>
  </w:style>
  <w:style w:type="paragraph" w:customStyle="1" w:styleId="NoSpacing5">
    <w:name w:val="No Spacing5"/>
    <w:uiPriority w:val="1"/>
    <w:qFormat/>
    <w:rsid w:val="004A15FA"/>
    <w:rPr>
      <w:rFonts w:ascii="Times New Roman" w:eastAsia="Times New Roman" w:hAnsi="Times New Roman" w:cs="Times New Roman"/>
      <w:sz w:val="24"/>
      <w:szCs w:val="24"/>
    </w:rPr>
  </w:style>
  <w:style w:type="paragraph" w:customStyle="1" w:styleId="ColorfulShading-Accent13">
    <w:name w:val="Colorful Shading - Accent 13"/>
    <w:hidden/>
    <w:uiPriority w:val="99"/>
    <w:rsid w:val="004A15FA"/>
    <w:rPr>
      <w:rFonts w:ascii="Times New Roman" w:eastAsia="Times New Roman" w:hAnsi="Times New Roman" w:cs="Times New Roman"/>
      <w:sz w:val="24"/>
      <w:szCs w:val="24"/>
    </w:rPr>
  </w:style>
  <w:style w:type="character" w:customStyle="1" w:styleId="CharChar17">
    <w:name w:val="Char Char17"/>
    <w:rsid w:val="004A15FA"/>
    <w:rPr>
      <w:rFonts w:eastAsia="Times"/>
      <w:bCs/>
      <w:i/>
      <w:sz w:val="24"/>
      <w:szCs w:val="28"/>
      <w:lang w:val="en-US" w:eastAsia="en-US" w:bidi="ar-SA"/>
    </w:rPr>
  </w:style>
  <w:style w:type="character" w:customStyle="1" w:styleId="CharChar274">
    <w:name w:val="Char Char274"/>
    <w:locked/>
    <w:rsid w:val="004A15FA"/>
    <w:rPr>
      <w:rFonts w:ascii="Arial" w:hAnsi="Arial" w:cs="Arial"/>
      <w:b/>
      <w:bCs/>
      <w:kern w:val="32"/>
      <w:sz w:val="32"/>
      <w:szCs w:val="32"/>
    </w:rPr>
  </w:style>
  <w:style w:type="character" w:customStyle="1" w:styleId="CharChar264">
    <w:name w:val="Char Char264"/>
    <w:locked/>
    <w:rsid w:val="004A15FA"/>
    <w:rPr>
      <w:rFonts w:ascii="Arial" w:hAnsi="Arial" w:cs="Arial"/>
      <w:b/>
      <w:bCs/>
      <w:i/>
      <w:iCs/>
      <w:sz w:val="28"/>
      <w:szCs w:val="28"/>
    </w:rPr>
  </w:style>
  <w:style w:type="character" w:customStyle="1" w:styleId="CharChar254">
    <w:name w:val="Char Char254"/>
    <w:locked/>
    <w:rsid w:val="004A15FA"/>
    <w:rPr>
      <w:rFonts w:ascii="Arial" w:hAnsi="Arial" w:cs="Arial"/>
      <w:b/>
      <w:bCs/>
      <w:sz w:val="26"/>
      <w:szCs w:val="26"/>
    </w:rPr>
  </w:style>
  <w:style w:type="character" w:customStyle="1" w:styleId="CharChar244">
    <w:name w:val="Char Char244"/>
    <w:locked/>
    <w:rsid w:val="004A15FA"/>
    <w:rPr>
      <w:rFonts w:cs="Times New Roman"/>
      <w:b/>
      <w:bCs/>
      <w:i/>
      <w:iCs/>
      <w:sz w:val="26"/>
      <w:szCs w:val="26"/>
    </w:rPr>
  </w:style>
  <w:style w:type="character" w:customStyle="1" w:styleId="CharChar234">
    <w:name w:val="Char Char234"/>
    <w:locked/>
    <w:rsid w:val="004A15FA"/>
    <w:rPr>
      <w:rFonts w:cs="Times New Roman"/>
      <w:b/>
      <w:bCs/>
      <w:sz w:val="22"/>
      <w:szCs w:val="22"/>
    </w:rPr>
  </w:style>
  <w:style w:type="character" w:customStyle="1" w:styleId="CharChar224">
    <w:name w:val="Char Char224"/>
    <w:locked/>
    <w:rsid w:val="004A15FA"/>
    <w:rPr>
      <w:rFonts w:cs="Times New Roman"/>
      <w:sz w:val="24"/>
      <w:szCs w:val="24"/>
    </w:rPr>
  </w:style>
  <w:style w:type="character" w:customStyle="1" w:styleId="CharChar214">
    <w:name w:val="Char Char214"/>
    <w:locked/>
    <w:rsid w:val="004A15FA"/>
    <w:rPr>
      <w:rFonts w:cs="Times New Roman"/>
      <w:i/>
      <w:iCs/>
      <w:sz w:val="24"/>
      <w:szCs w:val="24"/>
    </w:rPr>
  </w:style>
  <w:style w:type="character" w:customStyle="1" w:styleId="CharChar204">
    <w:name w:val="Char Char204"/>
    <w:locked/>
    <w:rsid w:val="004A15FA"/>
    <w:rPr>
      <w:rFonts w:ascii="Arial" w:hAnsi="Arial" w:cs="Arial"/>
      <w:sz w:val="22"/>
      <w:szCs w:val="22"/>
    </w:rPr>
  </w:style>
  <w:style w:type="character" w:customStyle="1" w:styleId="CharChar184">
    <w:name w:val="Char Char184"/>
    <w:locked/>
    <w:rsid w:val="004A15FA"/>
    <w:rPr>
      <w:rFonts w:cs="Times New Roman"/>
      <w:sz w:val="24"/>
      <w:szCs w:val="24"/>
    </w:rPr>
  </w:style>
  <w:style w:type="character" w:customStyle="1" w:styleId="CharChar144">
    <w:name w:val="Char Char144"/>
    <w:locked/>
    <w:rsid w:val="004A15FA"/>
    <w:rPr>
      <w:rFonts w:cs="Times New Roman"/>
      <w:sz w:val="24"/>
      <w:szCs w:val="24"/>
    </w:rPr>
  </w:style>
  <w:style w:type="character" w:customStyle="1" w:styleId="CharChar114">
    <w:name w:val="Char Char114"/>
    <w:locked/>
    <w:rsid w:val="004A15FA"/>
    <w:rPr>
      <w:rFonts w:ascii="Cambria" w:hAnsi="Cambria" w:cs="Times New Roman"/>
      <w:sz w:val="24"/>
      <w:szCs w:val="24"/>
    </w:rPr>
  </w:style>
  <w:style w:type="character" w:customStyle="1" w:styleId="CharChar44">
    <w:name w:val="Char Char44"/>
    <w:locked/>
    <w:rsid w:val="004A15FA"/>
    <w:rPr>
      <w:rFonts w:ascii="Cambria" w:hAnsi="Cambria" w:cs="Times New Roman"/>
      <w:b/>
      <w:bCs/>
      <w:kern w:val="28"/>
      <w:sz w:val="32"/>
      <w:szCs w:val="32"/>
    </w:rPr>
  </w:style>
  <w:style w:type="character" w:customStyle="1" w:styleId="CharChar394">
    <w:name w:val="Char Char394"/>
    <w:rsid w:val="004A15FA"/>
    <w:rPr>
      <w:rFonts w:ascii="Arial" w:eastAsia="Times New Roman" w:hAnsi="Arial" w:cs="Arial"/>
      <w:b/>
      <w:bCs/>
      <w:i/>
      <w:iCs/>
      <w:sz w:val="28"/>
      <w:szCs w:val="28"/>
    </w:rPr>
  </w:style>
  <w:style w:type="paragraph" w:customStyle="1" w:styleId="ColorfulList-Accent15">
    <w:name w:val="Colorful List - Accent 15"/>
    <w:basedOn w:val="Normal"/>
    <w:qFormat/>
    <w:rsid w:val="004A15FA"/>
    <w:pPr>
      <w:ind w:left="720"/>
    </w:pPr>
    <w:rPr>
      <w:rFonts w:eastAsia="Times New Roman" w:cs="Times New Roman"/>
      <w:szCs w:val="24"/>
    </w:rPr>
  </w:style>
  <w:style w:type="paragraph" w:customStyle="1" w:styleId="NoSpacing51">
    <w:name w:val="No Spacing51"/>
    <w:uiPriority w:val="99"/>
    <w:qFormat/>
    <w:rsid w:val="004A15FA"/>
    <w:rPr>
      <w:rFonts w:ascii="Times New Roman" w:eastAsia="Times New Roman" w:hAnsi="Times New Roman" w:cs="Times New Roman"/>
      <w:sz w:val="24"/>
      <w:szCs w:val="24"/>
    </w:rPr>
  </w:style>
  <w:style w:type="paragraph" w:customStyle="1" w:styleId="Bibliography1">
    <w:name w:val="Bibliography1"/>
    <w:basedOn w:val="Normal"/>
    <w:next w:val="Normal"/>
    <w:rsid w:val="004A15FA"/>
    <w:rPr>
      <w:rFonts w:eastAsia="Times New Roman" w:cs="Times New Roman"/>
      <w:szCs w:val="24"/>
    </w:rPr>
  </w:style>
  <w:style w:type="paragraph" w:styleId="BlockText">
    <w:name w:val="Block Text"/>
    <w:basedOn w:val="Normal"/>
    <w:rsid w:val="004A15FA"/>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cs="Times New Roman"/>
      <w:i/>
      <w:iCs/>
      <w:color w:val="4F81BD"/>
      <w:szCs w:val="24"/>
    </w:rPr>
  </w:style>
  <w:style w:type="paragraph" w:styleId="BodyTextFirstIndent">
    <w:name w:val="Body Text First Indent"/>
    <w:basedOn w:val="BodyText"/>
    <w:link w:val="BodyTextFirstIndentChar"/>
    <w:rsid w:val="004A15FA"/>
    <w:pPr>
      <w:widowControl/>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autoSpaceDE/>
      <w:autoSpaceDN/>
      <w:adjustRightInd/>
      <w:ind w:firstLine="360"/>
    </w:pPr>
    <w:rPr>
      <w:u w:val="single"/>
    </w:rPr>
  </w:style>
  <w:style w:type="character" w:customStyle="1" w:styleId="BodyTextFirstIndentChar">
    <w:name w:val="Body Text First Indent Char"/>
    <w:basedOn w:val="BodyTextChar"/>
    <w:link w:val="BodyTextFirstIndent"/>
    <w:rsid w:val="004A15FA"/>
    <w:rPr>
      <w:rFonts w:ascii="Times New Roman" w:eastAsia="Times New Roman" w:hAnsi="Times New Roman" w:cs="Times New Roman"/>
      <w:sz w:val="24"/>
      <w:szCs w:val="24"/>
      <w:u w:val="single"/>
    </w:rPr>
  </w:style>
  <w:style w:type="paragraph" w:styleId="BodyTextFirstIndent2">
    <w:name w:val="Body Text First Indent 2"/>
    <w:basedOn w:val="BodyTextIndent"/>
    <w:link w:val="BodyTextFirstIndent2Char"/>
    <w:rsid w:val="004A15FA"/>
    <w:pPr>
      <w:spacing w:after="0"/>
      <w:ind w:firstLine="360"/>
    </w:pPr>
  </w:style>
  <w:style w:type="character" w:customStyle="1" w:styleId="BodyTextFirstIndent2Char">
    <w:name w:val="Body Text First Indent 2 Char"/>
    <w:basedOn w:val="BodyTextIndentChar"/>
    <w:link w:val="BodyTextFirstIndent2"/>
    <w:rsid w:val="004A15FA"/>
    <w:rPr>
      <w:rFonts w:ascii="Times New Roman" w:eastAsia="Times New Roman" w:hAnsi="Times New Roman" w:cs="Times New Roman"/>
      <w:sz w:val="24"/>
      <w:szCs w:val="24"/>
    </w:rPr>
  </w:style>
  <w:style w:type="paragraph" w:styleId="Closing">
    <w:name w:val="Closing"/>
    <w:basedOn w:val="Normal"/>
    <w:link w:val="ClosingChar"/>
    <w:rsid w:val="004A15FA"/>
    <w:pPr>
      <w:ind w:left="4320"/>
    </w:pPr>
    <w:rPr>
      <w:rFonts w:eastAsia="Times New Roman" w:cs="Times New Roman"/>
      <w:szCs w:val="24"/>
    </w:rPr>
  </w:style>
  <w:style w:type="character" w:customStyle="1" w:styleId="ClosingChar">
    <w:name w:val="Closing Char"/>
    <w:basedOn w:val="DefaultParagraphFont"/>
    <w:link w:val="Closing"/>
    <w:rsid w:val="004A15FA"/>
    <w:rPr>
      <w:rFonts w:ascii="Times New Roman" w:eastAsia="Times New Roman" w:hAnsi="Times New Roman" w:cs="Times New Roman"/>
      <w:sz w:val="24"/>
      <w:szCs w:val="24"/>
    </w:rPr>
  </w:style>
  <w:style w:type="paragraph" w:styleId="Date">
    <w:name w:val="Date"/>
    <w:basedOn w:val="Normal"/>
    <w:next w:val="Normal"/>
    <w:link w:val="DateChar"/>
    <w:rsid w:val="004A15FA"/>
    <w:rPr>
      <w:rFonts w:eastAsia="Times New Roman" w:cs="Times New Roman"/>
      <w:szCs w:val="24"/>
    </w:rPr>
  </w:style>
  <w:style w:type="character" w:customStyle="1" w:styleId="DateChar">
    <w:name w:val="Date Char"/>
    <w:basedOn w:val="DefaultParagraphFont"/>
    <w:link w:val="Date"/>
    <w:rsid w:val="004A15FA"/>
    <w:rPr>
      <w:rFonts w:ascii="Times New Roman" w:eastAsia="Times New Roman" w:hAnsi="Times New Roman" w:cs="Times New Roman"/>
      <w:sz w:val="24"/>
      <w:szCs w:val="24"/>
    </w:rPr>
  </w:style>
  <w:style w:type="paragraph" w:styleId="E-mailSignature">
    <w:name w:val="E-mail Signature"/>
    <w:basedOn w:val="Normal"/>
    <w:link w:val="E-mailSignatureChar"/>
    <w:rsid w:val="004A15FA"/>
    <w:rPr>
      <w:rFonts w:eastAsia="Times New Roman" w:cs="Times New Roman"/>
      <w:szCs w:val="24"/>
    </w:rPr>
  </w:style>
  <w:style w:type="character" w:customStyle="1" w:styleId="E-mailSignatureChar">
    <w:name w:val="E-mail Signature Char"/>
    <w:basedOn w:val="DefaultParagraphFont"/>
    <w:link w:val="E-mailSignature"/>
    <w:rsid w:val="004A15FA"/>
    <w:rPr>
      <w:rFonts w:ascii="Times New Roman" w:eastAsia="Times New Roman" w:hAnsi="Times New Roman" w:cs="Times New Roman"/>
      <w:sz w:val="24"/>
      <w:szCs w:val="24"/>
    </w:rPr>
  </w:style>
  <w:style w:type="paragraph" w:styleId="EnvelopeAddress">
    <w:name w:val="envelope address"/>
    <w:basedOn w:val="Normal"/>
    <w:rsid w:val="004A15FA"/>
    <w:pPr>
      <w:framePr w:w="7920" w:h="1980" w:hRule="exact" w:hSpace="180" w:wrap="auto" w:hAnchor="page" w:xAlign="center" w:yAlign="bottom"/>
      <w:ind w:left="2880"/>
    </w:pPr>
    <w:rPr>
      <w:rFonts w:ascii="Cambria" w:eastAsia="Times New Roman" w:hAnsi="Cambria" w:cs="Times New Roman"/>
      <w:szCs w:val="24"/>
    </w:rPr>
  </w:style>
  <w:style w:type="paragraph" w:styleId="EnvelopeReturn">
    <w:name w:val="envelope return"/>
    <w:basedOn w:val="Normal"/>
    <w:rsid w:val="004A15FA"/>
    <w:rPr>
      <w:rFonts w:ascii="Cambria" w:eastAsia="Times New Roman" w:hAnsi="Cambria" w:cs="Times New Roman"/>
      <w:sz w:val="20"/>
      <w:szCs w:val="20"/>
    </w:rPr>
  </w:style>
  <w:style w:type="paragraph" w:styleId="HTMLAddress">
    <w:name w:val="HTML Address"/>
    <w:basedOn w:val="Normal"/>
    <w:link w:val="HTMLAddressChar"/>
    <w:rsid w:val="004A15FA"/>
    <w:rPr>
      <w:rFonts w:eastAsia="Times New Roman" w:cs="Times New Roman"/>
      <w:i/>
      <w:iCs/>
      <w:szCs w:val="24"/>
    </w:rPr>
  </w:style>
  <w:style w:type="character" w:customStyle="1" w:styleId="HTMLAddressChar">
    <w:name w:val="HTML Address Char"/>
    <w:basedOn w:val="DefaultParagraphFont"/>
    <w:link w:val="HTMLAddress"/>
    <w:rsid w:val="004A15FA"/>
    <w:rPr>
      <w:rFonts w:ascii="Times New Roman" w:eastAsia="Times New Roman" w:hAnsi="Times New Roman" w:cs="Times New Roman"/>
      <w:i/>
      <w:iCs/>
      <w:sz w:val="24"/>
      <w:szCs w:val="24"/>
    </w:rPr>
  </w:style>
  <w:style w:type="paragraph" w:customStyle="1" w:styleId="LightShading-Accent21">
    <w:name w:val="Light Shading - Accent 21"/>
    <w:basedOn w:val="Normal"/>
    <w:next w:val="Normal"/>
    <w:link w:val="LightShading-Accent2Char"/>
    <w:qFormat/>
    <w:rsid w:val="004A15FA"/>
    <w:pPr>
      <w:pBdr>
        <w:bottom w:val="single" w:sz="4" w:space="4" w:color="4F81BD"/>
      </w:pBdr>
      <w:spacing w:before="200" w:after="280"/>
      <w:ind w:left="936" w:right="936"/>
    </w:pPr>
    <w:rPr>
      <w:rFonts w:eastAsia="Times New Roman" w:cs="Times New Roman"/>
      <w:b/>
      <w:bCs/>
      <w:i/>
      <w:iCs/>
      <w:color w:val="4F81BD"/>
      <w:szCs w:val="24"/>
    </w:rPr>
  </w:style>
  <w:style w:type="character" w:customStyle="1" w:styleId="LightShading-Accent2Char">
    <w:name w:val="Light Shading - Accent 2 Char"/>
    <w:link w:val="LightShading-Accent21"/>
    <w:rsid w:val="004A15FA"/>
    <w:rPr>
      <w:rFonts w:ascii="Times New Roman" w:eastAsia="Times New Roman" w:hAnsi="Times New Roman" w:cs="Times New Roman"/>
      <w:b/>
      <w:bCs/>
      <w:i/>
      <w:iCs/>
      <w:color w:val="4F81BD"/>
      <w:sz w:val="24"/>
      <w:szCs w:val="24"/>
    </w:rPr>
  </w:style>
  <w:style w:type="paragraph" w:styleId="List3">
    <w:name w:val="List 3"/>
    <w:basedOn w:val="Normal"/>
    <w:rsid w:val="004A15FA"/>
    <w:pPr>
      <w:ind w:left="1080" w:hanging="360"/>
      <w:contextualSpacing/>
    </w:pPr>
    <w:rPr>
      <w:rFonts w:eastAsia="Times New Roman" w:cs="Times New Roman"/>
      <w:szCs w:val="24"/>
    </w:rPr>
  </w:style>
  <w:style w:type="paragraph" w:styleId="List4">
    <w:name w:val="List 4"/>
    <w:basedOn w:val="Normal"/>
    <w:rsid w:val="004A15FA"/>
    <w:pPr>
      <w:ind w:left="1440" w:hanging="360"/>
      <w:contextualSpacing/>
    </w:pPr>
    <w:rPr>
      <w:rFonts w:eastAsia="Times New Roman" w:cs="Times New Roman"/>
      <w:szCs w:val="24"/>
    </w:rPr>
  </w:style>
  <w:style w:type="paragraph" w:styleId="List5">
    <w:name w:val="List 5"/>
    <w:basedOn w:val="Normal"/>
    <w:rsid w:val="004A15FA"/>
    <w:pPr>
      <w:ind w:left="1800" w:hanging="360"/>
      <w:contextualSpacing/>
    </w:pPr>
    <w:rPr>
      <w:rFonts w:eastAsia="Times New Roman" w:cs="Times New Roman"/>
      <w:szCs w:val="24"/>
    </w:rPr>
  </w:style>
  <w:style w:type="paragraph" w:styleId="ListContinue">
    <w:name w:val="List Continue"/>
    <w:basedOn w:val="Normal"/>
    <w:rsid w:val="004A15FA"/>
    <w:pPr>
      <w:spacing w:after="120"/>
      <w:ind w:left="360"/>
      <w:contextualSpacing/>
    </w:pPr>
    <w:rPr>
      <w:rFonts w:eastAsia="Times New Roman" w:cs="Times New Roman"/>
      <w:szCs w:val="24"/>
    </w:rPr>
  </w:style>
  <w:style w:type="paragraph" w:styleId="ListContinue3">
    <w:name w:val="List Continue 3"/>
    <w:basedOn w:val="Normal"/>
    <w:rsid w:val="004A15FA"/>
    <w:pPr>
      <w:spacing w:after="120"/>
      <w:ind w:left="1080"/>
      <w:contextualSpacing/>
    </w:pPr>
    <w:rPr>
      <w:rFonts w:eastAsia="Times New Roman" w:cs="Times New Roman"/>
      <w:szCs w:val="24"/>
    </w:rPr>
  </w:style>
  <w:style w:type="paragraph" w:styleId="ListContinue4">
    <w:name w:val="List Continue 4"/>
    <w:basedOn w:val="Normal"/>
    <w:rsid w:val="004A15FA"/>
    <w:pPr>
      <w:spacing w:after="120"/>
      <w:ind w:left="1440"/>
      <w:contextualSpacing/>
    </w:pPr>
    <w:rPr>
      <w:rFonts w:eastAsia="Times New Roman" w:cs="Times New Roman"/>
      <w:szCs w:val="24"/>
    </w:rPr>
  </w:style>
  <w:style w:type="paragraph" w:styleId="ListContinue5">
    <w:name w:val="List Continue 5"/>
    <w:basedOn w:val="Normal"/>
    <w:rsid w:val="004A15FA"/>
    <w:pPr>
      <w:spacing w:after="120"/>
      <w:ind w:left="1800"/>
      <w:contextualSpacing/>
    </w:pPr>
    <w:rPr>
      <w:rFonts w:eastAsia="Times New Roman" w:cs="Times New Roman"/>
      <w:szCs w:val="24"/>
    </w:rPr>
  </w:style>
  <w:style w:type="paragraph" w:styleId="MacroText">
    <w:name w:val="macro"/>
    <w:link w:val="MacroTextChar"/>
    <w:rsid w:val="004A15FA"/>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4"/>
      <w:szCs w:val="24"/>
    </w:rPr>
  </w:style>
  <w:style w:type="character" w:customStyle="1" w:styleId="MacroTextChar">
    <w:name w:val="Macro Text Char"/>
    <w:basedOn w:val="DefaultParagraphFont"/>
    <w:link w:val="MacroText"/>
    <w:rsid w:val="004A15FA"/>
    <w:rPr>
      <w:rFonts w:ascii="Consolas" w:eastAsia="Times New Roman" w:hAnsi="Consolas" w:cs="Times New Roman"/>
      <w:sz w:val="24"/>
      <w:szCs w:val="24"/>
    </w:rPr>
  </w:style>
  <w:style w:type="paragraph" w:styleId="MessageHeader">
    <w:name w:val="Message Header"/>
    <w:basedOn w:val="Normal"/>
    <w:link w:val="MessageHeaderChar"/>
    <w:rsid w:val="004A15F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Cs w:val="24"/>
    </w:rPr>
  </w:style>
  <w:style w:type="character" w:customStyle="1" w:styleId="MessageHeaderChar">
    <w:name w:val="Message Header Char"/>
    <w:basedOn w:val="DefaultParagraphFont"/>
    <w:link w:val="MessageHeader"/>
    <w:rsid w:val="004A15FA"/>
    <w:rPr>
      <w:rFonts w:ascii="Cambria" w:eastAsia="Times New Roman" w:hAnsi="Cambria" w:cs="Times New Roman"/>
      <w:sz w:val="24"/>
      <w:szCs w:val="24"/>
      <w:shd w:val="pct20" w:color="auto" w:fill="auto"/>
    </w:rPr>
  </w:style>
  <w:style w:type="paragraph" w:customStyle="1" w:styleId="NoSpacing6">
    <w:name w:val="No Spacing6"/>
    <w:qFormat/>
    <w:rsid w:val="004A15FA"/>
    <w:rPr>
      <w:rFonts w:ascii="Times New Roman" w:eastAsia="Times New Roman" w:hAnsi="Times New Roman" w:cs="Times New Roman"/>
      <w:sz w:val="24"/>
      <w:szCs w:val="24"/>
    </w:rPr>
  </w:style>
  <w:style w:type="paragraph" w:styleId="NormalIndent">
    <w:name w:val="Normal Indent"/>
    <w:basedOn w:val="Normal"/>
    <w:rsid w:val="004A15FA"/>
    <w:pPr>
      <w:ind w:left="720"/>
    </w:pPr>
    <w:rPr>
      <w:rFonts w:eastAsia="Times New Roman" w:cs="Times New Roman"/>
      <w:szCs w:val="24"/>
    </w:rPr>
  </w:style>
  <w:style w:type="paragraph" w:styleId="NoteHeading">
    <w:name w:val="Note Heading"/>
    <w:basedOn w:val="Normal"/>
    <w:next w:val="Normal"/>
    <w:link w:val="NoteHeadingChar"/>
    <w:rsid w:val="004A15FA"/>
    <w:rPr>
      <w:rFonts w:eastAsia="Times New Roman" w:cs="Times New Roman"/>
      <w:szCs w:val="24"/>
    </w:rPr>
  </w:style>
  <w:style w:type="character" w:customStyle="1" w:styleId="NoteHeadingChar">
    <w:name w:val="Note Heading Char"/>
    <w:basedOn w:val="DefaultParagraphFont"/>
    <w:link w:val="NoteHeading"/>
    <w:rsid w:val="004A15FA"/>
    <w:rPr>
      <w:rFonts w:ascii="Times New Roman" w:eastAsia="Times New Roman" w:hAnsi="Times New Roman" w:cs="Times New Roman"/>
      <w:sz w:val="24"/>
      <w:szCs w:val="24"/>
    </w:rPr>
  </w:style>
  <w:style w:type="paragraph" w:customStyle="1" w:styleId="ColorfulGrid-Accent11">
    <w:name w:val="Colorful Grid - Accent 11"/>
    <w:basedOn w:val="Normal"/>
    <w:next w:val="Normal"/>
    <w:link w:val="ColorfulGrid-Accent1Char"/>
    <w:qFormat/>
    <w:rsid w:val="004A15FA"/>
    <w:rPr>
      <w:rFonts w:eastAsia="Times New Roman" w:cs="Times New Roman"/>
      <w:i/>
      <w:iCs/>
      <w:color w:val="000000"/>
      <w:szCs w:val="24"/>
    </w:rPr>
  </w:style>
  <w:style w:type="character" w:customStyle="1" w:styleId="ColorfulGrid-Accent1Char">
    <w:name w:val="Colorful Grid - Accent 1 Char"/>
    <w:link w:val="ColorfulGrid-Accent11"/>
    <w:rsid w:val="004A15FA"/>
    <w:rPr>
      <w:rFonts w:ascii="Times New Roman" w:eastAsia="Times New Roman" w:hAnsi="Times New Roman" w:cs="Times New Roman"/>
      <w:i/>
      <w:iCs/>
      <w:color w:val="000000"/>
      <w:sz w:val="24"/>
      <w:szCs w:val="24"/>
    </w:rPr>
  </w:style>
  <w:style w:type="paragraph" w:styleId="Salutation">
    <w:name w:val="Salutation"/>
    <w:basedOn w:val="Normal"/>
    <w:next w:val="Normal"/>
    <w:link w:val="SalutationChar"/>
    <w:rsid w:val="004A15FA"/>
    <w:rPr>
      <w:rFonts w:eastAsia="Times New Roman" w:cs="Times New Roman"/>
      <w:szCs w:val="24"/>
    </w:rPr>
  </w:style>
  <w:style w:type="character" w:customStyle="1" w:styleId="SalutationChar">
    <w:name w:val="Salutation Char"/>
    <w:basedOn w:val="DefaultParagraphFont"/>
    <w:link w:val="Salutation"/>
    <w:rsid w:val="004A15FA"/>
    <w:rPr>
      <w:rFonts w:ascii="Times New Roman" w:eastAsia="Times New Roman" w:hAnsi="Times New Roman" w:cs="Times New Roman"/>
      <w:sz w:val="24"/>
      <w:szCs w:val="24"/>
    </w:rPr>
  </w:style>
  <w:style w:type="paragraph" w:styleId="Signature">
    <w:name w:val="Signature"/>
    <w:basedOn w:val="Normal"/>
    <w:link w:val="SignatureChar"/>
    <w:rsid w:val="004A15FA"/>
    <w:pPr>
      <w:ind w:left="4320"/>
    </w:pPr>
    <w:rPr>
      <w:rFonts w:eastAsia="Times New Roman" w:cs="Times New Roman"/>
      <w:szCs w:val="24"/>
    </w:rPr>
  </w:style>
  <w:style w:type="character" w:customStyle="1" w:styleId="SignatureChar">
    <w:name w:val="Signature Char"/>
    <w:basedOn w:val="DefaultParagraphFont"/>
    <w:link w:val="Signature"/>
    <w:rsid w:val="004A15FA"/>
    <w:rPr>
      <w:rFonts w:ascii="Times New Roman" w:eastAsia="Times New Roman" w:hAnsi="Times New Roman" w:cs="Times New Roman"/>
      <w:sz w:val="24"/>
      <w:szCs w:val="24"/>
    </w:rPr>
  </w:style>
  <w:style w:type="paragraph" w:styleId="TableofAuthorities">
    <w:name w:val="table of authorities"/>
    <w:basedOn w:val="Normal"/>
    <w:next w:val="Normal"/>
    <w:rsid w:val="004A15FA"/>
    <w:pPr>
      <w:ind w:left="240" w:hanging="240"/>
    </w:pPr>
    <w:rPr>
      <w:rFonts w:eastAsia="Times New Roman" w:cs="Times New Roman"/>
      <w:szCs w:val="24"/>
    </w:rPr>
  </w:style>
  <w:style w:type="paragraph" w:styleId="TOAHeading">
    <w:name w:val="toa heading"/>
    <w:basedOn w:val="Normal"/>
    <w:next w:val="Normal"/>
    <w:rsid w:val="004A15FA"/>
    <w:pPr>
      <w:spacing w:before="120"/>
    </w:pPr>
    <w:rPr>
      <w:rFonts w:ascii="Cambria" w:eastAsia="Times New Roman" w:hAnsi="Cambria" w:cs="Times New Roman"/>
      <w:b/>
      <w:bCs/>
      <w:szCs w:val="24"/>
    </w:rPr>
  </w:style>
  <w:style w:type="paragraph" w:customStyle="1" w:styleId="ColorfulList-Accent16">
    <w:name w:val="Colorful List - Accent 16"/>
    <w:basedOn w:val="Normal"/>
    <w:uiPriority w:val="34"/>
    <w:qFormat/>
    <w:rsid w:val="004A15FA"/>
    <w:pPr>
      <w:ind w:left="720"/>
    </w:pPr>
    <w:rPr>
      <w:rFonts w:eastAsia="Times New Roman" w:cs="Times New Roman"/>
      <w:szCs w:val="24"/>
    </w:rPr>
  </w:style>
  <w:style w:type="paragraph" w:customStyle="1" w:styleId="LightGrid-Accent311">
    <w:name w:val="Light Grid - Accent 311"/>
    <w:basedOn w:val="Normal"/>
    <w:uiPriority w:val="34"/>
    <w:qFormat/>
    <w:rsid w:val="004A15FA"/>
    <w:pPr>
      <w:ind w:left="720"/>
      <w:contextualSpacing/>
    </w:pPr>
    <w:rPr>
      <w:rFonts w:ascii="Calibri" w:eastAsia="Calibri" w:hAnsi="Calibri" w:cs="Times New Roman"/>
      <w:sz w:val="22"/>
    </w:rPr>
  </w:style>
  <w:style w:type="table" w:customStyle="1" w:styleId="LightGrid-Accent11">
    <w:name w:val="Light Grid - Accent 11"/>
    <w:basedOn w:val="TableNormal"/>
    <w:rsid w:val="004A15FA"/>
    <w:rPr>
      <w:rFonts w:ascii="Times New Roman" w:eastAsia="Times New Roman" w:hAnsi="Times New Roman" w:cs="Times New Roman"/>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Heading4CharCharCharChar12ptNotBold">
    <w:name w:val="Style Heading 4 Char Char Char Char + 12 pt Not Bold"/>
    <w:rsid w:val="004A15FA"/>
    <w:rPr>
      <w:rFonts w:ascii="Times New Roman" w:hAnsi="Times New Roman"/>
      <w:b w:val="0"/>
      <w:bCs w:val="0"/>
      <w:sz w:val="24"/>
      <w:szCs w:val="28"/>
      <w:lang w:val="en-US" w:eastAsia="en-US" w:bidi="ar-SA"/>
    </w:rPr>
  </w:style>
  <w:style w:type="paragraph" w:customStyle="1" w:styleId="NoSpacing7">
    <w:name w:val="No Spacing7"/>
    <w:uiPriority w:val="1"/>
    <w:qFormat/>
    <w:rsid w:val="004A15FA"/>
    <w:rPr>
      <w:rFonts w:ascii="Times New Roman" w:eastAsia="Times New Roman" w:hAnsi="Times New Roman" w:cs="Times New Roman"/>
      <w:sz w:val="24"/>
      <w:szCs w:val="24"/>
    </w:rPr>
  </w:style>
  <w:style w:type="character" w:customStyle="1" w:styleId="EmailStyle54">
    <w:name w:val="EmailStyle54"/>
    <w:semiHidden/>
    <w:rsid w:val="004A15FA"/>
    <w:rPr>
      <w:rFonts w:ascii="Arial" w:hAnsi="Arial" w:cs="Arial" w:hint="default"/>
      <w:color w:val="auto"/>
      <w:sz w:val="20"/>
      <w:szCs w:val="20"/>
    </w:rPr>
  </w:style>
  <w:style w:type="character" w:customStyle="1" w:styleId="Heading4Char3">
    <w:name w:val="Heading 4 Char3"/>
    <w:rsid w:val="004A15FA"/>
    <w:rPr>
      <w:rFonts w:ascii="Times New Roman" w:eastAsia="Times New Roman" w:hAnsi="Times New Roman" w:cs="Times New Roman"/>
      <w:b/>
      <w:bCs/>
      <w:iCs/>
      <w:sz w:val="24"/>
      <w:szCs w:val="24"/>
    </w:rPr>
  </w:style>
  <w:style w:type="table" w:styleId="TableElegant">
    <w:name w:val="Table Elegant"/>
    <w:basedOn w:val="TableNormal"/>
    <w:rsid w:val="004A15FA"/>
    <w:rPr>
      <w:rFonts w:ascii="Times New Roman" w:eastAsia="Times New Roman" w:hAnsi="Times New Roman" w:cs="Times New Roman"/>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31">
    <w:name w:val="Heading 31"/>
    <w:basedOn w:val="Normal"/>
    <w:next w:val="Normal"/>
    <w:qFormat/>
    <w:rsid w:val="004A15FA"/>
    <w:pPr>
      <w:keepNext/>
      <w:tabs>
        <w:tab w:val="num" w:pos="720"/>
      </w:tabs>
      <w:spacing w:before="240" w:after="60"/>
      <w:ind w:left="720" w:hanging="720"/>
    </w:pPr>
    <w:rPr>
      <w:rFonts w:ascii="Arial" w:eastAsia="Times New Roman" w:hAnsi="Arial" w:cs="Arial"/>
      <w:b/>
      <w:bCs/>
      <w:szCs w:val="26"/>
    </w:rPr>
  </w:style>
  <w:style w:type="numbering" w:customStyle="1" w:styleId="NoList1">
    <w:name w:val="No List1"/>
    <w:next w:val="NoList"/>
    <w:semiHidden/>
    <w:rsid w:val="004A15FA"/>
  </w:style>
  <w:style w:type="paragraph" w:customStyle="1" w:styleId="BodyTextIn">
    <w:name w:val="Body Text In"/>
    <w:uiPriority w:val="99"/>
    <w:rsid w:val="004A15FA"/>
    <w:pPr>
      <w:tabs>
        <w:tab w:val="left" w:pos="-90"/>
        <w:tab w:val="left" w:pos="0"/>
        <w:tab w:val="left" w:pos="9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270"/>
        <w:tab w:val="left" w:pos="9360"/>
      </w:tabs>
      <w:autoSpaceDE w:val="0"/>
      <w:autoSpaceDN w:val="0"/>
      <w:adjustRightInd w:val="0"/>
      <w:ind w:left="90"/>
    </w:pPr>
    <w:rPr>
      <w:rFonts w:ascii="Times New Roman" w:eastAsia="Times New Roman" w:hAnsi="Times New Roman" w:cs="Times New Roman"/>
      <w:sz w:val="24"/>
      <w:szCs w:val="24"/>
    </w:rPr>
  </w:style>
  <w:style w:type="paragraph" w:customStyle="1" w:styleId="CM26">
    <w:name w:val="CM26"/>
    <w:basedOn w:val="Normal"/>
    <w:next w:val="Normal"/>
    <w:uiPriority w:val="99"/>
    <w:rsid w:val="004A15FA"/>
    <w:pPr>
      <w:autoSpaceDE w:val="0"/>
      <w:autoSpaceDN w:val="0"/>
      <w:adjustRightInd w:val="0"/>
    </w:pPr>
    <w:rPr>
      <w:rFonts w:eastAsia="Times New Roman" w:cs="Times New Roman"/>
      <w:szCs w:val="24"/>
    </w:rPr>
  </w:style>
  <w:style w:type="paragraph" w:customStyle="1" w:styleId="maintext">
    <w:name w:val="maintext"/>
    <w:basedOn w:val="Normal"/>
    <w:rsid w:val="004A15FA"/>
    <w:pPr>
      <w:spacing w:before="100" w:beforeAutospacing="1" w:after="100" w:afterAutospacing="1"/>
    </w:pPr>
    <w:rPr>
      <w:rFonts w:eastAsia="Times New Roman" w:cs="Times New Roman"/>
      <w:szCs w:val="24"/>
    </w:rPr>
  </w:style>
  <w:style w:type="character" w:customStyle="1" w:styleId="maintext1">
    <w:name w:val="maintext1"/>
    <w:basedOn w:val="DefaultParagraphFont"/>
    <w:rsid w:val="004A15FA"/>
  </w:style>
  <w:style w:type="paragraph" w:customStyle="1" w:styleId="missiontxt">
    <w:name w:val="mission_txt"/>
    <w:basedOn w:val="Normal"/>
    <w:rsid w:val="004A15FA"/>
    <w:pPr>
      <w:spacing w:before="100" w:beforeAutospacing="1" w:after="100" w:afterAutospacing="1"/>
    </w:pPr>
    <w:rPr>
      <w:rFonts w:eastAsia="Times New Roman" w:cs="Times New Roman"/>
      <w:szCs w:val="24"/>
    </w:rPr>
  </w:style>
  <w:style w:type="paragraph" w:customStyle="1" w:styleId="TableKCaption">
    <w:name w:val="TableK Caption"/>
    <w:basedOn w:val="Normal"/>
    <w:next w:val="BodyText"/>
    <w:qFormat/>
    <w:rsid w:val="004A15FA"/>
    <w:rPr>
      <w:rFonts w:eastAsia="Times New Roman" w:cs="Times New Roman"/>
      <w:szCs w:val="24"/>
    </w:rPr>
  </w:style>
  <w:style w:type="character" w:customStyle="1" w:styleId="EmailStyle541">
    <w:name w:val="EmailStyle541"/>
    <w:semiHidden/>
    <w:rsid w:val="004A15FA"/>
    <w:rPr>
      <w:rFonts w:ascii="Arial" w:hAnsi="Arial" w:cs="Arial" w:hint="default"/>
      <w:color w:val="auto"/>
      <w:sz w:val="20"/>
      <w:szCs w:val="20"/>
    </w:rPr>
  </w:style>
  <w:style w:type="character" w:customStyle="1" w:styleId="Heading1Char2">
    <w:name w:val="Heading 1 Char2"/>
    <w:rsid w:val="004A15FA"/>
    <w:rPr>
      <w:rFonts w:ascii="Times New Roman" w:eastAsia="Times New Roman" w:hAnsi="Times New Roman" w:cs="Times New Roman"/>
      <w:b/>
      <w:bCs/>
      <w:sz w:val="24"/>
      <w:szCs w:val="28"/>
    </w:rPr>
  </w:style>
  <w:style w:type="character" w:customStyle="1" w:styleId="Heading1Char3">
    <w:name w:val="Heading 1 Char3"/>
    <w:rsid w:val="004A15FA"/>
    <w:rPr>
      <w:rFonts w:ascii="Times New Roman" w:eastAsia="Times New Roman" w:hAnsi="Times New Roman" w:cs="Times New Roman"/>
      <w:b/>
      <w:bCs/>
      <w:sz w:val="24"/>
      <w:szCs w:val="28"/>
    </w:rPr>
  </w:style>
  <w:style w:type="character" w:customStyle="1" w:styleId="Heading2Char1">
    <w:name w:val="Heading 2 Char1"/>
    <w:rsid w:val="004A15FA"/>
    <w:rPr>
      <w:rFonts w:ascii="Times New Roman" w:eastAsia="Times New Roman" w:hAnsi="Times New Roman" w:cs="Times New Roman"/>
      <w:b/>
      <w:bCs/>
      <w:sz w:val="24"/>
      <w:szCs w:val="26"/>
    </w:rPr>
  </w:style>
  <w:style w:type="character" w:customStyle="1" w:styleId="volume">
    <w:name w:val="volume"/>
    <w:basedOn w:val="DefaultParagraphFont"/>
    <w:rsid w:val="004A15FA"/>
  </w:style>
  <w:style w:type="character" w:customStyle="1" w:styleId="page">
    <w:name w:val="page"/>
    <w:basedOn w:val="DefaultParagraphFont"/>
    <w:rsid w:val="004A15FA"/>
  </w:style>
  <w:style w:type="character" w:customStyle="1" w:styleId="e-04">
    <w:name w:val="e-04"/>
    <w:basedOn w:val="DefaultParagraphFont"/>
    <w:rsid w:val="004A15FA"/>
  </w:style>
  <w:style w:type="character" w:customStyle="1" w:styleId="A4">
    <w:name w:val="A4"/>
    <w:uiPriority w:val="99"/>
    <w:rsid w:val="004A15FA"/>
    <w:rPr>
      <w:color w:val="221E1F"/>
      <w:sz w:val="18"/>
      <w:szCs w:val="18"/>
    </w:rPr>
  </w:style>
  <w:style w:type="paragraph" w:customStyle="1" w:styleId="MediumList2-Accent22">
    <w:name w:val="Medium List 2 - Accent 22"/>
    <w:hidden/>
    <w:rsid w:val="004A15FA"/>
    <w:rPr>
      <w:rFonts w:ascii="Times New Roman" w:eastAsia="Times New Roman" w:hAnsi="Times New Roman" w:cs="Times New Roman"/>
      <w:sz w:val="24"/>
      <w:szCs w:val="24"/>
    </w:rPr>
  </w:style>
  <w:style w:type="paragraph" w:styleId="Revision">
    <w:name w:val="Revision"/>
    <w:hidden/>
    <w:rsid w:val="004A15FA"/>
    <w:rPr>
      <w:rFonts w:ascii="Times New Roman" w:eastAsia="Times New Roman" w:hAnsi="Times New Roman" w:cs="Times New Roman"/>
      <w:sz w:val="24"/>
      <w:szCs w:val="24"/>
    </w:rPr>
  </w:style>
  <w:style w:type="table" w:styleId="LightList-Accent3">
    <w:name w:val="Light List Accent 3"/>
    <w:basedOn w:val="TableNormal"/>
    <w:uiPriority w:val="71"/>
    <w:rsid w:val="004A15FA"/>
    <w:rPr>
      <w:rFonts w:ascii="Times New Roman" w:eastAsia="Times New Roman" w:hAnsi="Times New Roman" w:cs="Times New Roman"/>
      <w:color w:val="000000"/>
      <w:sz w:val="24"/>
      <w:szCs w:val="24"/>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EmailStyle57">
    <w:name w:val="EmailStyle57"/>
    <w:basedOn w:val="DefaultParagraphFont"/>
    <w:semiHidden/>
    <w:rsid w:val="004A15FA"/>
    <w:rPr>
      <w:rFonts w:ascii="Arial" w:hAnsi="Arial" w:cs="Arial" w:hint="default"/>
      <w:color w:val="auto"/>
      <w:sz w:val="20"/>
      <w:szCs w:val="20"/>
    </w:rPr>
  </w:style>
  <w:style w:type="character" w:customStyle="1" w:styleId="EmailStyle343">
    <w:name w:val="EmailStyle343"/>
    <w:basedOn w:val="DefaultParagraphFont"/>
    <w:semiHidden/>
    <w:rsid w:val="004A15FA"/>
    <w:rPr>
      <w:rFonts w:ascii="Arial" w:hAnsi="Arial" w:cs="Arial" w:hint="default"/>
      <w:color w:val="auto"/>
      <w:sz w:val="20"/>
      <w:szCs w:val="20"/>
    </w:rPr>
  </w:style>
  <w:style w:type="character" w:customStyle="1" w:styleId="EmailStyle358">
    <w:name w:val="EmailStyle358"/>
    <w:basedOn w:val="DefaultParagraphFont"/>
    <w:semiHidden/>
    <w:rsid w:val="004A15FA"/>
    <w:rPr>
      <w:rFonts w:ascii="Arial" w:hAnsi="Arial" w:cs="Arial" w:hint="default"/>
      <w:color w:val="auto"/>
      <w:sz w:val="20"/>
      <w:szCs w:val="20"/>
    </w:rPr>
  </w:style>
  <w:style w:type="character" w:customStyle="1" w:styleId="EmailStyle359">
    <w:name w:val="EmailStyle359"/>
    <w:basedOn w:val="DefaultParagraphFont"/>
    <w:semiHidden/>
    <w:rsid w:val="004A15FA"/>
    <w:rPr>
      <w:rFonts w:ascii="Arial" w:hAnsi="Arial" w:cs="Arial" w:hint="default"/>
      <w:color w:val="auto"/>
      <w:sz w:val="20"/>
      <w:szCs w:val="20"/>
    </w:rPr>
  </w:style>
  <w:style w:type="character" w:customStyle="1" w:styleId="EmailStyle369">
    <w:name w:val="EmailStyle369"/>
    <w:basedOn w:val="DefaultParagraphFont"/>
    <w:semiHidden/>
    <w:rsid w:val="004A15FA"/>
    <w:rPr>
      <w:rFonts w:ascii="Arial" w:hAnsi="Arial" w:cs="Arial" w:hint="default"/>
      <w:color w:val="auto"/>
      <w:sz w:val="20"/>
      <w:szCs w:val="20"/>
    </w:rPr>
  </w:style>
  <w:style w:type="table" w:styleId="MediumShading2-Accent6">
    <w:name w:val="Medium Shading 2 Accent 6"/>
    <w:basedOn w:val="TableNormal"/>
    <w:uiPriority w:val="71"/>
    <w:rsid w:val="004A15FA"/>
    <w:rPr>
      <w:rFonts w:ascii="Times New Roman" w:eastAsia="Times New Roman" w:hAnsi="Times New Roman" w:cs="Times New Roman"/>
      <w:color w:val="000000"/>
      <w:sz w:val="24"/>
      <w:szCs w:val="24"/>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apple-converted-space">
    <w:name w:val="apple-converted-space"/>
    <w:rsid w:val="004A15FA"/>
  </w:style>
  <w:style w:type="character" w:customStyle="1" w:styleId="articletitle">
    <w:name w:val="articletitle"/>
    <w:basedOn w:val="DefaultParagraphFont"/>
    <w:rsid w:val="004A15FA"/>
  </w:style>
  <w:style w:type="character" w:customStyle="1" w:styleId="journaltitle">
    <w:name w:val="journaltitle"/>
    <w:basedOn w:val="DefaultParagraphFont"/>
    <w:rsid w:val="004A15FA"/>
  </w:style>
  <w:style w:type="character" w:customStyle="1" w:styleId="vol">
    <w:name w:val="vol"/>
    <w:basedOn w:val="DefaultParagraphFont"/>
    <w:rsid w:val="004A15FA"/>
  </w:style>
</w:styles>
</file>

<file path=word/webSettings.xml><?xml version="1.0" encoding="utf-8"?>
<w:webSettings xmlns:r="http://schemas.openxmlformats.org/officeDocument/2006/relationships" xmlns:w="http://schemas.openxmlformats.org/wordprocessingml/2006/main">
  <w:divs>
    <w:div w:id="8533679">
      <w:bodyDiv w:val="1"/>
      <w:marLeft w:val="0"/>
      <w:marRight w:val="0"/>
      <w:marTop w:val="0"/>
      <w:marBottom w:val="0"/>
      <w:divBdr>
        <w:top w:val="none" w:sz="0" w:space="0" w:color="auto"/>
        <w:left w:val="none" w:sz="0" w:space="0" w:color="auto"/>
        <w:bottom w:val="none" w:sz="0" w:space="0" w:color="auto"/>
        <w:right w:val="none" w:sz="0" w:space="0" w:color="auto"/>
      </w:divBdr>
    </w:div>
    <w:div w:id="78597773">
      <w:bodyDiv w:val="1"/>
      <w:marLeft w:val="0"/>
      <w:marRight w:val="0"/>
      <w:marTop w:val="0"/>
      <w:marBottom w:val="0"/>
      <w:divBdr>
        <w:top w:val="none" w:sz="0" w:space="0" w:color="auto"/>
        <w:left w:val="none" w:sz="0" w:space="0" w:color="auto"/>
        <w:bottom w:val="none" w:sz="0" w:space="0" w:color="auto"/>
        <w:right w:val="none" w:sz="0" w:space="0" w:color="auto"/>
      </w:divBdr>
    </w:div>
    <w:div w:id="83574241">
      <w:bodyDiv w:val="1"/>
      <w:marLeft w:val="0"/>
      <w:marRight w:val="0"/>
      <w:marTop w:val="0"/>
      <w:marBottom w:val="0"/>
      <w:divBdr>
        <w:top w:val="none" w:sz="0" w:space="0" w:color="auto"/>
        <w:left w:val="none" w:sz="0" w:space="0" w:color="auto"/>
        <w:bottom w:val="none" w:sz="0" w:space="0" w:color="auto"/>
        <w:right w:val="none" w:sz="0" w:space="0" w:color="auto"/>
      </w:divBdr>
    </w:div>
    <w:div w:id="171839864">
      <w:bodyDiv w:val="1"/>
      <w:marLeft w:val="0"/>
      <w:marRight w:val="0"/>
      <w:marTop w:val="0"/>
      <w:marBottom w:val="0"/>
      <w:divBdr>
        <w:top w:val="none" w:sz="0" w:space="0" w:color="auto"/>
        <w:left w:val="none" w:sz="0" w:space="0" w:color="auto"/>
        <w:bottom w:val="none" w:sz="0" w:space="0" w:color="auto"/>
        <w:right w:val="none" w:sz="0" w:space="0" w:color="auto"/>
      </w:divBdr>
    </w:div>
    <w:div w:id="433549800">
      <w:bodyDiv w:val="1"/>
      <w:marLeft w:val="0"/>
      <w:marRight w:val="0"/>
      <w:marTop w:val="0"/>
      <w:marBottom w:val="0"/>
      <w:divBdr>
        <w:top w:val="none" w:sz="0" w:space="0" w:color="auto"/>
        <w:left w:val="none" w:sz="0" w:space="0" w:color="auto"/>
        <w:bottom w:val="none" w:sz="0" w:space="0" w:color="auto"/>
        <w:right w:val="none" w:sz="0" w:space="0" w:color="auto"/>
      </w:divBdr>
    </w:div>
    <w:div w:id="443690896">
      <w:bodyDiv w:val="1"/>
      <w:marLeft w:val="0"/>
      <w:marRight w:val="0"/>
      <w:marTop w:val="0"/>
      <w:marBottom w:val="0"/>
      <w:divBdr>
        <w:top w:val="none" w:sz="0" w:space="0" w:color="auto"/>
        <w:left w:val="none" w:sz="0" w:space="0" w:color="auto"/>
        <w:bottom w:val="none" w:sz="0" w:space="0" w:color="auto"/>
        <w:right w:val="none" w:sz="0" w:space="0" w:color="auto"/>
      </w:divBdr>
    </w:div>
    <w:div w:id="446119928">
      <w:bodyDiv w:val="1"/>
      <w:marLeft w:val="0"/>
      <w:marRight w:val="0"/>
      <w:marTop w:val="0"/>
      <w:marBottom w:val="0"/>
      <w:divBdr>
        <w:top w:val="none" w:sz="0" w:space="0" w:color="auto"/>
        <w:left w:val="none" w:sz="0" w:space="0" w:color="auto"/>
        <w:bottom w:val="none" w:sz="0" w:space="0" w:color="auto"/>
        <w:right w:val="none" w:sz="0" w:space="0" w:color="auto"/>
      </w:divBdr>
    </w:div>
    <w:div w:id="497886258">
      <w:bodyDiv w:val="1"/>
      <w:marLeft w:val="0"/>
      <w:marRight w:val="0"/>
      <w:marTop w:val="0"/>
      <w:marBottom w:val="0"/>
      <w:divBdr>
        <w:top w:val="none" w:sz="0" w:space="0" w:color="auto"/>
        <w:left w:val="none" w:sz="0" w:space="0" w:color="auto"/>
        <w:bottom w:val="none" w:sz="0" w:space="0" w:color="auto"/>
        <w:right w:val="none" w:sz="0" w:space="0" w:color="auto"/>
      </w:divBdr>
    </w:div>
    <w:div w:id="589777950">
      <w:bodyDiv w:val="1"/>
      <w:marLeft w:val="0"/>
      <w:marRight w:val="0"/>
      <w:marTop w:val="0"/>
      <w:marBottom w:val="0"/>
      <w:divBdr>
        <w:top w:val="none" w:sz="0" w:space="0" w:color="auto"/>
        <w:left w:val="none" w:sz="0" w:space="0" w:color="auto"/>
        <w:bottom w:val="none" w:sz="0" w:space="0" w:color="auto"/>
        <w:right w:val="none" w:sz="0" w:space="0" w:color="auto"/>
      </w:divBdr>
    </w:div>
    <w:div w:id="821310962">
      <w:bodyDiv w:val="1"/>
      <w:marLeft w:val="0"/>
      <w:marRight w:val="0"/>
      <w:marTop w:val="0"/>
      <w:marBottom w:val="0"/>
      <w:divBdr>
        <w:top w:val="none" w:sz="0" w:space="0" w:color="auto"/>
        <w:left w:val="none" w:sz="0" w:space="0" w:color="auto"/>
        <w:bottom w:val="none" w:sz="0" w:space="0" w:color="auto"/>
        <w:right w:val="none" w:sz="0" w:space="0" w:color="auto"/>
      </w:divBdr>
    </w:div>
    <w:div w:id="858815288">
      <w:bodyDiv w:val="1"/>
      <w:marLeft w:val="0"/>
      <w:marRight w:val="0"/>
      <w:marTop w:val="0"/>
      <w:marBottom w:val="0"/>
      <w:divBdr>
        <w:top w:val="none" w:sz="0" w:space="0" w:color="auto"/>
        <w:left w:val="none" w:sz="0" w:space="0" w:color="auto"/>
        <w:bottom w:val="none" w:sz="0" w:space="0" w:color="auto"/>
        <w:right w:val="none" w:sz="0" w:space="0" w:color="auto"/>
      </w:divBdr>
    </w:div>
    <w:div w:id="910850482">
      <w:bodyDiv w:val="1"/>
      <w:marLeft w:val="0"/>
      <w:marRight w:val="0"/>
      <w:marTop w:val="0"/>
      <w:marBottom w:val="0"/>
      <w:divBdr>
        <w:top w:val="none" w:sz="0" w:space="0" w:color="auto"/>
        <w:left w:val="none" w:sz="0" w:space="0" w:color="auto"/>
        <w:bottom w:val="none" w:sz="0" w:space="0" w:color="auto"/>
        <w:right w:val="none" w:sz="0" w:space="0" w:color="auto"/>
      </w:divBdr>
    </w:div>
    <w:div w:id="949356916">
      <w:bodyDiv w:val="1"/>
      <w:marLeft w:val="0"/>
      <w:marRight w:val="0"/>
      <w:marTop w:val="0"/>
      <w:marBottom w:val="0"/>
      <w:divBdr>
        <w:top w:val="none" w:sz="0" w:space="0" w:color="auto"/>
        <w:left w:val="none" w:sz="0" w:space="0" w:color="auto"/>
        <w:bottom w:val="none" w:sz="0" w:space="0" w:color="auto"/>
        <w:right w:val="none" w:sz="0" w:space="0" w:color="auto"/>
      </w:divBdr>
    </w:div>
    <w:div w:id="956639304">
      <w:bodyDiv w:val="1"/>
      <w:marLeft w:val="0"/>
      <w:marRight w:val="0"/>
      <w:marTop w:val="0"/>
      <w:marBottom w:val="0"/>
      <w:divBdr>
        <w:top w:val="none" w:sz="0" w:space="0" w:color="auto"/>
        <w:left w:val="none" w:sz="0" w:space="0" w:color="auto"/>
        <w:bottom w:val="none" w:sz="0" w:space="0" w:color="auto"/>
        <w:right w:val="none" w:sz="0" w:space="0" w:color="auto"/>
      </w:divBdr>
    </w:div>
    <w:div w:id="1014915409">
      <w:bodyDiv w:val="1"/>
      <w:marLeft w:val="0"/>
      <w:marRight w:val="0"/>
      <w:marTop w:val="0"/>
      <w:marBottom w:val="0"/>
      <w:divBdr>
        <w:top w:val="none" w:sz="0" w:space="0" w:color="auto"/>
        <w:left w:val="none" w:sz="0" w:space="0" w:color="auto"/>
        <w:bottom w:val="none" w:sz="0" w:space="0" w:color="auto"/>
        <w:right w:val="none" w:sz="0" w:space="0" w:color="auto"/>
      </w:divBdr>
    </w:div>
    <w:div w:id="1461538237">
      <w:bodyDiv w:val="1"/>
      <w:marLeft w:val="0"/>
      <w:marRight w:val="0"/>
      <w:marTop w:val="0"/>
      <w:marBottom w:val="0"/>
      <w:divBdr>
        <w:top w:val="none" w:sz="0" w:space="0" w:color="auto"/>
        <w:left w:val="none" w:sz="0" w:space="0" w:color="auto"/>
        <w:bottom w:val="none" w:sz="0" w:space="0" w:color="auto"/>
        <w:right w:val="none" w:sz="0" w:space="0" w:color="auto"/>
      </w:divBdr>
    </w:div>
    <w:div w:id="1475217708">
      <w:bodyDiv w:val="1"/>
      <w:marLeft w:val="0"/>
      <w:marRight w:val="0"/>
      <w:marTop w:val="0"/>
      <w:marBottom w:val="0"/>
      <w:divBdr>
        <w:top w:val="none" w:sz="0" w:space="0" w:color="auto"/>
        <w:left w:val="none" w:sz="0" w:space="0" w:color="auto"/>
        <w:bottom w:val="none" w:sz="0" w:space="0" w:color="auto"/>
        <w:right w:val="none" w:sz="0" w:space="0" w:color="auto"/>
      </w:divBdr>
    </w:div>
    <w:div w:id="1562869279">
      <w:bodyDiv w:val="1"/>
      <w:marLeft w:val="0"/>
      <w:marRight w:val="0"/>
      <w:marTop w:val="0"/>
      <w:marBottom w:val="0"/>
      <w:divBdr>
        <w:top w:val="none" w:sz="0" w:space="0" w:color="auto"/>
        <w:left w:val="none" w:sz="0" w:space="0" w:color="auto"/>
        <w:bottom w:val="none" w:sz="0" w:space="0" w:color="auto"/>
        <w:right w:val="none" w:sz="0" w:space="0" w:color="auto"/>
      </w:divBdr>
    </w:div>
    <w:div w:id="1723824152">
      <w:bodyDiv w:val="1"/>
      <w:marLeft w:val="0"/>
      <w:marRight w:val="0"/>
      <w:marTop w:val="0"/>
      <w:marBottom w:val="0"/>
      <w:divBdr>
        <w:top w:val="none" w:sz="0" w:space="0" w:color="auto"/>
        <w:left w:val="none" w:sz="0" w:space="0" w:color="auto"/>
        <w:bottom w:val="none" w:sz="0" w:space="0" w:color="auto"/>
        <w:right w:val="none" w:sz="0" w:space="0" w:color="auto"/>
      </w:divBdr>
    </w:div>
    <w:div w:id="1791513739">
      <w:bodyDiv w:val="1"/>
      <w:marLeft w:val="0"/>
      <w:marRight w:val="0"/>
      <w:marTop w:val="0"/>
      <w:marBottom w:val="0"/>
      <w:divBdr>
        <w:top w:val="none" w:sz="0" w:space="0" w:color="auto"/>
        <w:left w:val="none" w:sz="0" w:space="0" w:color="auto"/>
        <w:bottom w:val="none" w:sz="0" w:space="0" w:color="auto"/>
        <w:right w:val="none" w:sz="0" w:space="0" w:color="auto"/>
      </w:divBdr>
    </w:div>
    <w:div w:id="1861360071">
      <w:bodyDiv w:val="1"/>
      <w:marLeft w:val="0"/>
      <w:marRight w:val="0"/>
      <w:marTop w:val="0"/>
      <w:marBottom w:val="0"/>
      <w:divBdr>
        <w:top w:val="none" w:sz="0" w:space="0" w:color="auto"/>
        <w:left w:val="none" w:sz="0" w:space="0" w:color="auto"/>
        <w:bottom w:val="none" w:sz="0" w:space="0" w:color="auto"/>
        <w:right w:val="none" w:sz="0" w:space="0" w:color="auto"/>
      </w:divBdr>
    </w:div>
    <w:div w:id="2068530527">
      <w:bodyDiv w:val="1"/>
      <w:marLeft w:val="0"/>
      <w:marRight w:val="0"/>
      <w:marTop w:val="0"/>
      <w:marBottom w:val="0"/>
      <w:divBdr>
        <w:top w:val="none" w:sz="0" w:space="0" w:color="auto"/>
        <w:left w:val="none" w:sz="0" w:space="0" w:color="auto"/>
        <w:bottom w:val="none" w:sz="0" w:space="0" w:color="auto"/>
        <w:right w:val="none" w:sz="0" w:space="0" w:color="auto"/>
      </w:divBdr>
    </w:div>
    <w:div w:id="2070492407">
      <w:bodyDiv w:val="1"/>
      <w:marLeft w:val="0"/>
      <w:marRight w:val="0"/>
      <w:marTop w:val="0"/>
      <w:marBottom w:val="0"/>
      <w:divBdr>
        <w:top w:val="none" w:sz="0" w:space="0" w:color="auto"/>
        <w:left w:val="none" w:sz="0" w:space="0" w:color="auto"/>
        <w:bottom w:val="none" w:sz="0" w:space="0" w:color="auto"/>
        <w:right w:val="none" w:sz="0" w:space="0" w:color="auto"/>
      </w:divBdr>
    </w:div>
    <w:div w:id="210688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www.uline.com/BL_6423/Flagging-Tap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hyperlink" Target="http://www.amazon.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chart" Target="charts/chart3.xml"/><Relationship Id="rId37" Type="http://schemas.openxmlformats.org/officeDocument/2006/relationships/footer" Target="footer6.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5.xml"/><Relationship Id="rId10" Type="http://schemas.openxmlformats.org/officeDocument/2006/relationships/hyperlink" Target="http://www.fisheries.noaa.gov/pr/pdfs/criticalhabitat/northatlanticrightwhale.pdf" TargetMode="External"/><Relationship Id="rId19" Type="http://schemas.openxmlformats.org/officeDocument/2006/relationships/footer" Target="footer2.xm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hart" Target="charts/chart1.xml"/><Relationship Id="rId35" Type="http://schemas.openxmlformats.org/officeDocument/2006/relationships/hyperlink" Target="http://www.tigersupplies.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rianCheuvront:Documents:Snapper%20Grouper:FMP:Reg%20Amend%2016%20-%20Black%20Sea%20Bass%20pots:201506%20files:BSB%20Reg%2016%20NC%20Mkt%20Grade%20201505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ck.farmer\Documents\SAFMC\Reg16-BSB\SG%20reg%2016%20daily%20catch%20rate%20for%20pots%2020151030%20OLDAlt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ick.farmer\Documents\SAFMC\Reg16-BSB\SG%20reg%2016%20daily%20catch%20rate%20for%20pots%2020151030%20OLDAlt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lineChart>
        <c:grouping val="standard"/>
        <c:ser>
          <c:idx val="0"/>
          <c:order val="0"/>
          <c:cat>
            <c:strRef>
              <c:f>'Macintosh HD:Users:BrianCheuvront:Documents:Snapper Grouper:FMP:Reg Amend 16 - Black Sea Bass pots:201506 files:[BSB Pct landings by month 2000-2009.xlsx]Sheet1'!$A$2:$A$13</c:f>
              <c:strCache>
                <c:ptCount val="12"/>
                <c:pt idx="0">
                  <c:v>_x0003_Jan</c:v>
                </c:pt>
                <c:pt idx="1">
                  <c:v>_x0003_Feb</c:v>
                </c:pt>
                <c:pt idx="2">
                  <c:v>_x0003_Mar</c:v>
                </c:pt>
                <c:pt idx="3">
                  <c:v>_x0003_Apr</c:v>
                </c:pt>
                <c:pt idx="4">
                  <c:v>_x0003_May</c:v>
                </c:pt>
                <c:pt idx="5">
                  <c:v>_x0003_Jun</c:v>
                </c:pt>
                <c:pt idx="6">
                  <c:v>_x0003_Jul</c:v>
                </c:pt>
                <c:pt idx="7">
                  <c:v>_x0003_Aug</c:v>
                </c:pt>
                <c:pt idx="8">
                  <c:v>_x0003_Sep</c:v>
                </c:pt>
                <c:pt idx="9">
                  <c:v>_x0003_Oct</c:v>
                </c:pt>
                <c:pt idx="10">
                  <c:v>_x0003_Nov</c:v>
                </c:pt>
                <c:pt idx="11">
                  <c:v>_x0003_Dec</c:v>
                </c:pt>
              </c:strCache>
            </c:strRef>
          </c:cat>
          <c:val>
            <c:numRef>
              <c:f>'Macintosh HD:Users:BrianCheuvront:Documents:Snapper Grouper:FMP:Reg Amend 16 - Black Sea Bass pots:201506 files:[BSB Pct landings by month 2000-2009.xlsx]Sheet1'!$B$2:$B$13</c:f>
              <c:numCache>
                <c:formatCode>General</c:formatCode>
                <c:ptCount val="12"/>
                <c:pt idx="0">
                  <c:v>0.1799498724282261</c:v>
                </c:pt>
                <c:pt idx="1">
                  <c:v>0.132983011225174</c:v>
                </c:pt>
                <c:pt idx="2">
                  <c:v>8.7924752143254056E-2</c:v>
                </c:pt>
                <c:pt idx="3">
                  <c:v>6.3134187688397889E-2</c:v>
                </c:pt>
                <c:pt idx="4">
                  <c:v>5.0850359412488007E-2</c:v>
                </c:pt>
                <c:pt idx="5">
                  <c:v>4.1463075061152793E-2</c:v>
                </c:pt>
                <c:pt idx="6">
                  <c:v>3.5518619061655814E-2</c:v>
                </c:pt>
                <c:pt idx="7">
                  <c:v>4.2605571118848426E-2</c:v>
                </c:pt>
                <c:pt idx="8">
                  <c:v>2.8337357894773915E-2</c:v>
                </c:pt>
                <c:pt idx="9">
                  <c:v>5.258353482619061E-2</c:v>
                </c:pt>
                <c:pt idx="10">
                  <c:v>0.10774964777925206</c:v>
                </c:pt>
                <c:pt idx="11">
                  <c:v>0.176900011360587</c:v>
                </c:pt>
              </c:numCache>
            </c:numRef>
          </c:val>
        </c:ser>
        <c:marker val="1"/>
        <c:axId val="105555456"/>
        <c:axId val="105556992"/>
      </c:lineChart>
      <c:catAx>
        <c:axId val="105555456"/>
        <c:scaling>
          <c:orientation val="minMax"/>
        </c:scaling>
        <c:axPos val="b"/>
        <c:tickLblPos val="nextTo"/>
        <c:crossAx val="105556992"/>
        <c:crosses val="autoZero"/>
        <c:auto val="1"/>
        <c:lblAlgn val="ctr"/>
        <c:lblOffset val="100"/>
      </c:catAx>
      <c:valAx>
        <c:axId val="105556992"/>
        <c:scaling>
          <c:orientation val="minMax"/>
        </c:scaling>
        <c:axPos val="l"/>
        <c:majorGridlines/>
        <c:numFmt formatCode="General" sourceLinked="1"/>
        <c:tickLblPos val="nextTo"/>
        <c:crossAx val="10555545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0"/>
          <c:order val="0"/>
          <c:tx>
            <c:strRef>
              <c:f>'graphic (changeValue) ALLGEAR'!$C$3</c:f>
              <c:strCache>
                <c:ptCount val="1"/>
                <c:pt idx="0">
                  <c:v>1</c:v>
                </c:pt>
              </c:strCache>
            </c:strRef>
          </c:tx>
          <c:spPr>
            <a:ln w="28575">
              <a:noFill/>
            </a:ln>
          </c:spPr>
          <c:marker>
            <c:symbol val="none"/>
          </c:marker>
          <c:dLbls>
            <c:txPr>
              <a:bodyPr/>
              <a:lstStyle/>
              <a:p>
                <a:pPr>
                  <a:defRPr>
                    <a:solidFill>
                      <a:schemeClr val="bg1">
                        <a:lumMod val="50000"/>
                      </a:schemeClr>
                    </a:solidFill>
                  </a:defRPr>
                </a:pPr>
                <a:endParaRPr lang="en-US"/>
              </a:p>
            </c:txPr>
            <c:dLblPos val="ctr"/>
            <c:showSerName val="1"/>
          </c:dLbls>
          <c:xVal>
            <c:numRef>
              <c:f>'graphic (changeValue) ALLGEAR'!$C$4:$C$15</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f>'graphic (changeValue) ALLGEAR'!$BH$4:$BH$15</c:f>
              <c:numCache>
                <c:formatCode>General</c:formatCode>
                <c:ptCount val="12"/>
              </c:numCache>
            </c:numRef>
          </c:yVal>
        </c:ser>
        <c:ser>
          <c:idx val="2"/>
          <c:order val="1"/>
          <c:tx>
            <c:strRef>
              <c:f>'graphic (changeValue) ALLGEAR'!$E$3</c:f>
              <c:strCache>
                <c:ptCount val="1"/>
                <c:pt idx="0">
                  <c:v>2</c:v>
                </c:pt>
              </c:strCache>
            </c:strRef>
          </c:tx>
          <c:spPr>
            <a:ln w="28575">
              <a:noFill/>
            </a:ln>
          </c:spPr>
          <c:marker>
            <c:symbol val="none"/>
          </c:marker>
          <c:dLbls>
            <c:txPr>
              <a:bodyPr/>
              <a:lstStyle/>
              <a:p>
                <a:pPr>
                  <a:defRPr>
                    <a:ln>
                      <a:solidFill>
                        <a:srgbClr val="00B0F0"/>
                      </a:solidFill>
                    </a:ln>
                  </a:defRPr>
                </a:pPr>
                <a:endParaRPr lang="en-US"/>
              </a:p>
            </c:txPr>
            <c:dLblPos val="ctr"/>
            <c:showSerName val="1"/>
          </c:dLbls>
          <c:xVal>
            <c:numRef>
              <c:f>'graphic (changeValue) ALLGEAR'!$E$4:$E$15</c:f>
              <c:numCache>
                <c:formatCode>0</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xVal>
          <c:yVal>
            <c:numRef>
              <c:f>'graphic (changeValue) ALLGEAR'!$BJ$4:$BJ$15</c:f>
              <c:numCache>
                <c:formatCode>General</c:formatCode>
                <c:ptCount val="12"/>
                <c:pt idx="0" formatCode="_(&quot;$&quot;* #,##0.00_);_(&quot;$&quot;* \(#,##0.00\);_(&quot;$&quot;* &quot;-&quot;??_);_(@_)">
                  <c:v>55578.993748720924</c:v>
                </c:pt>
                <c:pt idx="1">
                  <c:v>56343.904297107867</c:v>
                </c:pt>
                <c:pt idx="3" formatCode="_(&quot;$&quot;* #,##0.00_);_(&quot;$&quot;* \(#,##0.00\);_(&quot;$&quot;* &quot;-&quot;??_);_(@_)">
                  <c:v>41654.495599435199</c:v>
                </c:pt>
                <c:pt idx="4" formatCode="_(&quot;$&quot;* #,##0.00_);_(&quot;$&quot;* \(#,##0.00\);_(&quot;$&quot;* &quot;-&quot;??_);_(@_)">
                  <c:v>43028.274944338482</c:v>
                </c:pt>
                <c:pt idx="6" formatCode="_(&quot;$&quot;* #,##0.00_);_(&quot;$&quot;* \(#,##0.00\);_(&quot;$&quot;* &quot;-&quot;??_);_(@_)">
                  <c:v>54864.712627801287</c:v>
                </c:pt>
                <c:pt idx="7" formatCode="_(&quot;$&quot;* #,##0.00_);_(&quot;$&quot;* \(#,##0.00\);_(&quot;$&quot;* &quot;-&quot;??_);_(@_)">
                  <c:v>55362.426176188543</c:v>
                </c:pt>
                <c:pt idx="9" formatCode="_(&quot;$&quot;* #,##0.00_);_(&quot;$&quot;* \(#,##0.00\);_(&quot;$&quot;* &quot;-&quot;??_);_(@_)">
                  <c:v>59232.932533793188</c:v>
                </c:pt>
                <c:pt idx="10" formatCode="_(&quot;$&quot;* #,##0.00_);_(&quot;$&quot;* \(#,##0.00\);_(&quot;$&quot;* &quot;-&quot;??_);_(@_)">
                  <c:v>59967.287766051137</c:v>
                </c:pt>
              </c:numCache>
            </c:numRef>
          </c:yVal>
        </c:ser>
        <c:ser>
          <c:idx val="3"/>
          <c:order val="2"/>
          <c:tx>
            <c:strRef>
              <c:f>'graphic (changeValue) ALLGEAR'!$F$3</c:f>
              <c:strCache>
                <c:ptCount val="1"/>
                <c:pt idx="0">
                  <c:v>3</c:v>
                </c:pt>
              </c:strCache>
            </c:strRef>
          </c:tx>
          <c:spPr>
            <a:ln w="28575">
              <a:noFill/>
            </a:ln>
          </c:spPr>
          <c:marker>
            <c:symbol val="none"/>
          </c:marker>
          <c:dLbls>
            <c:txPr>
              <a:bodyPr/>
              <a:lstStyle/>
              <a:p>
                <a:pPr>
                  <a:defRPr>
                    <a:ln>
                      <a:solidFill>
                        <a:srgbClr val="00B050"/>
                      </a:solidFill>
                    </a:ln>
                  </a:defRPr>
                </a:pPr>
                <a:endParaRPr lang="en-US"/>
              </a:p>
            </c:txPr>
            <c:dLblPos val="ctr"/>
            <c:showSerName val="1"/>
          </c:dLbls>
          <c:xVal>
            <c:numRef>
              <c:f>'graphic (changeValue) ALLGEAR'!$F$4:$F$15</c:f>
              <c:numCache>
                <c:formatCode>0</c:formatCode>
                <c:ptCount val="12"/>
                <c:pt idx="0">
                  <c:v>48</c:v>
                </c:pt>
                <c:pt idx="1">
                  <c:v>30</c:v>
                </c:pt>
                <c:pt idx="2">
                  <c:v>44</c:v>
                </c:pt>
                <c:pt idx="3">
                  <c:v>47</c:v>
                </c:pt>
                <c:pt idx="4">
                  <c:v>29</c:v>
                </c:pt>
                <c:pt idx="5">
                  <c:v>43</c:v>
                </c:pt>
                <c:pt idx="6">
                  <c:v>47</c:v>
                </c:pt>
                <c:pt idx="7">
                  <c:v>29</c:v>
                </c:pt>
                <c:pt idx="8">
                  <c:v>43</c:v>
                </c:pt>
                <c:pt idx="9">
                  <c:v>48</c:v>
                </c:pt>
                <c:pt idx="10">
                  <c:v>30</c:v>
                </c:pt>
                <c:pt idx="11">
                  <c:v>44</c:v>
                </c:pt>
              </c:numCache>
            </c:numRef>
          </c:xVal>
          <c:yVal>
            <c:numRef>
              <c:f>'graphic (changeValue) ALLGEAR'!$BK$4:$BK$15</c:f>
              <c:numCache>
                <c:formatCode>_("$"* #,##0.00_);_("$"* \(#,##0.00\);_("$"* "-"??_);_(@_)</c:formatCode>
                <c:ptCount val="12"/>
                <c:pt idx="0">
                  <c:v>48665.576236927918</c:v>
                </c:pt>
                <c:pt idx="1">
                  <c:v>49039.806666515025</c:v>
                </c:pt>
                <c:pt idx="3">
                  <c:v>57925.19195152117</c:v>
                </c:pt>
                <c:pt idx="4">
                  <c:v>58597.309803060023</c:v>
                </c:pt>
                <c:pt idx="6">
                  <c:v>53394.94290405931</c:v>
                </c:pt>
                <c:pt idx="7">
                  <c:v>53638.447919667931</c:v>
                </c:pt>
                <c:pt idx="9">
                  <c:v>50416.951798509326</c:v>
                </c:pt>
                <c:pt idx="10">
                  <c:v>50776.233121817975</c:v>
                </c:pt>
              </c:numCache>
            </c:numRef>
          </c:yVal>
        </c:ser>
        <c:ser>
          <c:idx val="4"/>
          <c:order val="3"/>
          <c:tx>
            <c:strRef>
              <c:f>'graphic (changeValue) ALLGEAR'!$G$3</c:f>
              <c:strCache>
                <c:ptCount val="1"/>
                <c:pt idx="0">
                  <c:v>4</c:v>
                </c:pt>
              </c:strCache>
            </c:strRef>
          </c:tx>
          <c:spPr>
            <a:ln w="28575">
              <a:noFill/>
            </a:ln>
          </c:spPr>
          <c:marker>
            <c:symbol val="none"/>
          </c:marker>
          <c:dLbls>
            <c:txPr>
              <a:bodyPr/>
              <a:lstStyle/>
              <a:p>
                <a:pPr>
                  <a:defRPr>
                    <a:solidFill>
                      <a:schemeClr val="accent6">
                        <a:lumMod val="75000"/>
                      </a:schemeClr>
                    </a:solidFill>
                  </a:defRPr>
                </a:pPr>
                <a:endParaRPr lang="en-US"/>
              </a:p>
            </c:txPr>
            <c:dLblPos val="ctr"/>
            <c:showSerName val="1"/>
          </c:dLbls>
          <c:xVal>
            <c:numRef>
              <c:f>'graphic (changeValue) ALLGEAR'!$G$4:$G$15</c:f>
              <c:numCache>
                <c:formatCode>0</c:formatCode>
                <c:ptCount val="12"/>
                <c:pt idx="0">
                  <c:v>0</c:v>
                </c:pt>
                <c:pt idx="1">
                  <c:v>2</c:v>
                </c:pt>
                <c:pt idx="2">
                  <c:v>1</c:v>
                </c:pt>
                <c:pt idx="3">
                  <c:v>0</c:v>
                </c:pt>
                <c:pt idx="4">
                  <c:v>2</c:v>
                </c:pt>
                <c:pt idx="5">
                  <c:v>1</c:v>
                </c:pt>
                <c:pt idx="6">
                  <c:v>0</c:v>
                </c:pt>
                <c:pt idx="7">
                  <c:v>2</c:v>
                </c:pt>
                <c:pt idx="8">
                  <c:v>1</c:v>
                </c:pt>
                <c:pt idx="9">
                  <c:v>0</c:v>
                </c:pt>
                <c:pt idx="10">
                  <c:v>2</c:v>
                </c:pt>
                <c:pt idx="11">
                  <c:v>1</c:v>
                </c:pt>
              </c:numCache>
            </c:numRef>
          </c:xVal>
          <c:yVal>
            <c:numRef>
              <c:f>'graphic (changeValue) ALLGEAR'!$BL$4:$BL$15</c:f>
              <c:numCache>
                <c:formatCode>_("$"* #,##0.00_);_("$"* \(#,##0.00\);_("$"* "-"??_);_(@_)</c:formatCode>
                <c:ptCount val="12"/>
                <c:pt idx="0">
                  <c:v>43848.645004657075</c:v>
                </c:pt>
                <c:pt idx="1">
                  <c:v>44041.962017601356</c:v>
                </c:pt>
                <c:pt idx="3">
                  <c:v>44929.206870586378</c:v>
                </c:pt>
                <c:pt idx="4">
                  <c:v>45276.404225834413</c:v>
                </c:pt>
                <c:pt idx="6">
                  <c:v>46573.677272875786</c:v>
                </c:pt>
                <c:pt idx="7">
                  <c:v>46699.46517929039</c:v>
                </c:pt>
                <c:pt idx="9">
                  <c:v>43207.342838953751</c:v>
                </c:pt>
                <c:pt idx="10">
                  <c:v>43392.937560113576</c:v>
                </c:pt>
              </c:numCache>
            </c:numRef>
          </c:yVal>
        </c:ser>
        <c:ser>
          <c:idx val="5"/>
          <c:order val="4"/>
          <c:tx>
            <c:strRef>
              <c:f>'graphic (changeValue) ALLGEAR'!$H$3</c:f>
              <c:strCache>
                <c:ptCount val="1"/>
                <c:pt idx="0">
                  <c:v>5</c:v>
                </c:pt>
              </c:strCache>
            </c:strRef>
          </c:tx>
          <c:spPr>
            <a:ln w="28575">
              <a:noFill/>
            </a:ln>
          </c:spPr>
          <c:marker>
            <c:symbol val="none"/>
          </c:marker>
          <c:dLbls>
            <c:txPr>
              <a:bodyPr/>
              <a:lstStyle/>
              <a:p>
                <a:pPr>
                  <a:defRPr>
                    <a:solidFill>
                      <a:srgbClr val="C00000"/>
                    </a:solidFill>
                  </a:defRPr>
                </a:pPr>
                <a:endParaRPr lang="en-US"/>
              </a:p>
            </c:txPr>
            <c:dLblPos val="ctr"/>
            <c:showSerName val="1"/>
          </c:dLbls>
          <c:xVal>
            <c:numRef>
              <c:f>'graphic (changeValue) ALLGEAR'!$H$4:$H$15</c:f>
              <c:numCache>
                <c:formatCode>0</c:formatCode>
                <c:ptCount val="12"/>
                <c:pt idx="0">
                  <c:v>37</c:v>
                </c:pt>
                <c:pt idx="1">
                  <c:v>43</c:v>
                </c:pt>
                <c:pt idx="2">
                  <c:v>34</c:v>
                </c:pt>
                <c:pt idx="3">
                  <c:v>37</c:v>
                </c:pt>
                <c:pt idx="4">
                  <c:v>42</c:v>
                </c:pt>
                <c:pt idx="5">
                  <c:v>33</c:v>
                </c:pt>
                <c:pt idx="6">
                  <c:v>37</c:v>
                </c:pt>
                <c:pt idx="7">
                  <c:v>42</c:v>
                </c:pt>
                <c:pt idx="8">
                  <c:v>33</c:v>
                </c:pt>
                <c:pt idx="9">
                  <c:v>37</c:v>
                </c:pt>
                <c:pt idx="10">
                  <c:v>43</c:v>
                </c:pt>
                <c:pt idx="11">
                  <c:v>34</c:v>
                </c:pt>
              </c:numCache>
            </c:numRef>
          </c:xVal>
          <c:yVal>
            <c:numRef>
              <c:f>'graphic (changeValue) ALLGEAR'!$BM$4:$BM$15</c:f>
              <c:numCache>
                <c:formatCode>_("$"* #,##0.00_);_("$"* \(#,##0.00\);_("$"* "-"??_);_(@_)</c:formatCode>
                <c:ptCount val="12"/>
                <c:pt idx="0">
                  <c:v>44747.448155692815</c:v>
                </c:pt>
                <c:pt idx="1">
                  <c:v>44967.330090127653</c:v>
                </c:pt>
                <c:pt idx="3">
                  <c:v>48035.710180691138</c:v>
                </c:pt>
                <c:pt idx="4">
                  <c:v>48430.618134936332</c:v>
                </c:pt>
                <c:pt idx="6">
                  <c:v>45777.002883214736</c:v>
                </c:pt>
                <c:pt idx="7">
                  <c:v>45920.076106671477</c:v>
                </c:pt>
                <c:pt idx="9">
                  <c:v>45404.452288114713</c:v>
                </c:pt>
                <c:pt idx="10">
                  <c:v>45615.550761487582</c:v>
                </c:pt>
              </c:numCache>
            </c:numRef>
          </c:yVal>
        </c:ser>
        <c:ser>
          <c:idx val="6"/>
          <c:order val="5"/>
          <c:tx>
            <c:strRef>
              <c:f>'graphic (changeValue) ALLGEAR'!$I$3</c:f>
              <c:strCache>
                <c:ptCount val="1"/>
                <c:pt idx="0">
                  <c:v>6</c:v>
                </c:pt>
              </c:strCache>
            </c:strRef>
          </c:tx>
          <c:spPr>
            <a:ln w="28575">
              <a:noFill/>
            </a:ln>
          </c:spPr>
          <c:marker>
            <c:symbol val="none"/>
          </c:marker>
          <c:dLbls>
            <c:txPr>
              <a:bodyPr/>
              <a:lstStyle/>
              <a:p>
                <a:pPr>
                  <a:defRPr>
                    <a:solidFill>
                      <a:schemeClr val="tx2">
                        <a:lumMod val="60000"/>
                        <a:lumOff val="40000"/>
                      </a:schemeClr>
                    </a:solidFill>
                  </a:defRPr>
                </a:pPr>
                <a:endParaRPr lang="en-US"/>
              </a:p>
            </c:txPr>
            <c:dLblPos val="ctr"/>
            <c:showSerName val="1"/>
          </c:dLbls>
          <c:xVal>
            <c:numRef>
              <c:f>'graphic (changeValue) ALLGEAR'!$I$4:$I$15</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f>'graphic (changeValue) ALLGEAR'!$BN$4:$BN$15</c:f>
              <c:numCache>
                <c:formatCode>_("$"* #,##0.00_);_("$"* \(#,##0.00\);_("$"* "-"??_);_(@_)</c:formatCode>
                <c:ptCount val="12"/>
                <c:pt idx="0">
                  <c:v>44487.636592289433</c:v>
                </c:pt>
                <c:pt idx="1">
                  <c:v>44682.313357769512</c:v>
                </c:pt>
                <c:pt idx="3">
                  <c:v>45844.227759932124</c:v>
                </c:pt>
                <c:pt idx="4">
                  <c:v>46193.867230734322</c:v>
                </c:pt>
                <c:pt idx="6">
                  <c:v>41954.944867611855</c:v>
                </c:pt>
                <c:pt idx="7">
                  <c:v>42081.617540566636</c:v>
                </c:pt>
                <c:pt idx="9">
                  <c:v>43936.085564025911</c:v>
                </c:pt>
                <c:pt idx="10">
                  <c:v>44122.985720692435</c:v>
                </c:pt>
              </c:numCache>
            </c:numRef>
          </c:yVal>
        </c:ser>
        <c:ser>
          <c:idx val="7"/>
          <c:order val="6"/>
          <c:tx>
            <c:strRef>
              <c:f>'graphic (changeValue) ALLGEAR'!$J$3</c:f>
              <c:strCache>
                <c:ptCount val="1"/>
                <c:pt idx="0">
                  <c:v>7a</c:v>
                </c:pt>
              </c:strCache>
            </c:strRef>
          </c:tx>
          <c:spPr>
            <a:ln w="28575">
              <a:noFill/>
            </a:ln>
          </c:spPr>
          <c:marker>
            <c:symbol val="none"/>
          </c:marker>
          <c:dLbls>
            <c:txPr>
              <a:bodyPr/>
              <a:lstStyle/>
              <a:p>
                <a:pPr>
                  <a:defRPr>
                    <a:solidFill>
                      <a:schemeClr val="accent4">
                        <a:lumMod val="75000"/>
                      </a:schemeClr>
                    </a:solidFill>
                  </a:defRPr>
                </a:pPr>
                <a:endParaRPr lang="en-US"/>
              </a:p>
            </c:txPr>
            <c:dLblPos val="ctr"/>
            <c:showSerName val="1"/>
          </c:dLbls>
          <c:xVal>
            <c:numRef>
              <c:f>'graphic (changeValue) ALLGEAR'!$J$4:$J$15</c:f>
              <c:numCache>
                <c:formatCode>0</c:formatCode>
                <c:ptCount val="12"/>
                <c:pt idx="0">
                  <c:v>94</c:v>
                </c:pt>
                <c:pt idx="1">
                  <c:v>77</c:v>
                </c:pt>
                <c:pt idx="2">
                  <c:v>84</c:v>
                </c:pt>
                <c:pt idx="3">
                  <c:v>94</c:v>
                </c:pt>
                <c:pt idx="4">
                  <c:v>77</c:v>
                </c:pt>
                <c:pt idx="5">
                  <c:v>84</c:v>
                </c:pt>
                <c:pt idx="6">
                  <c:v>94</c:v>
                </c:pt>
                <c:pt idx="7">
                  <c:v>77</c:v>
                </c:pt>
                <c:pt idx="8">
                  <c:v>84</c:v>
                </c:pt>
                <c:pt idx="9">
                  <c:v>94</c:v>
                </c:pt>
                <c:pt idx="10">
                  <c:v>77</c:v>
                </c:pt>
                <c:pt idx="11">
                  <c:v>84</c:v>
                </c:pt>
              </c:numCache>
            </c:numRef>
          </c:xVal>
          <c:yVal>
            <c:numRef>
              <c:f>'graphic (changeValue) ALLGEAR'!$BO$4:$BO$15</c:f>
              <c:numCache>
                <c:formatCode>_("$"* #,##0.00_);_("$"* \(#,##0.00\);_("$"* "-"??_);_(@_)</c:formatCode>
                <c:ptCount val="12"/>
                <c:pt idx="0">
                  <c:v>54285.491681662592</c:v>
                </c:pt>
                <c:pt idx="1">
                  <c:v>55050.402230050036</c:v>
                </c:pt>
                <c:pt idx="3">
                  <c:v>45784.458642319783</c:v>
                </c:pt>
                <c:pt idx="4">
                  <c:v>47158.237987222827</c:v>
                </c:pt>
                <c:pt idx="6">
                  <c:v>56192.064018808567</c:v>
                </c:pt>
                <c:pt idx="7">
                  <c:v>56689.777567195706</c:v>
                </c:pt>
                <c:pt idx="9">
                  <c:v>57759.436254811008</c:v>
                </c:pt>
                <c:pt idx="10">
                  <c:v>58493.791487068876</c:v>
                </c:pt>
              </c:numCache>
            </c:numRef>
          </c:yVal>
        </c:ser>
        <c:ser>
          <c:idx val="8"/>
          <c:order val="7"/>
          <c:tx>
            <c:strRef>
              <c:f>'graphic (changeValue) ALLGEAR'!$K$3</c:f>
              <c:strCache>
                <c:ptCount val="1"/>
                <c:pt idx="0">
                  <c:v>7b</c:v>
                </c:pt>
              </c:strCache>
            </c:strRef>
          </c:tx>
          <c:spPr>
            <a:ln w="28575">
              <a:noFill/>
            </a:ln>
          </c:spPr>
          <c:marker>
            <c:symbol val="none"/>
          </c:marker>
          <c:dLbls>
            <c:txPr>
              <a:bodyPr/>
              <a:lstStyle/>
              <a:p>
                <a:pPr>
                  <a:defRPr>
                    <a:solidFill>
                      <a:schemeClr val="accent4">
                        <a:lumMod val="60000"/>
                        <a:lumOff val="40000"/>
                      </a:schemeClr>
                    </a:solidFill>
                  </a:defRPr>
                </a:pPr>
                <a:endParaRPr lang="en-US"/>
              </a:p>
            </c:txPr>
            <c:dLblPos val="ctr"/>
            <c:showSerName val="1"/>
          </c:dLbls>
          <c:xVal>
            <c:numRef>
              <c:f>'graphic (changeValue) ALLGEAR'!$K$4:$K$15</c:f>
              <c:numCache>
                <c:formatCode>0</c:formatCode>
                <c:ptCount val="12"/>
                <c:pt idx="0">
                  <c:v>87</c:v>
                </c:pt>
                <c:pt idx="1">
                  <c:v>67</c:v>
                </c:pt>
                <c:pt idx="2">
                  <c:v>80</c:v>
                </c:pt>
                <c:pt idx="3">
                  <c:v>87</c:v>
                </c:pt>
                <c:pt idx="4">
                  <c:v>67</c:v>
                </c:pt>
                <c:pt idx="5">
                  <c:v>80</c:v>
                </c:pt>
                <c:pt idx="6">
                  <c:v>87</c:v>
                </c:pt>
                <c:pt idx="7">
                  <c:v>67</c:v>
                </c:pt>
                <c:pt idx="8">
                  <c:v>80</c:v>
                </c:pt>
                <c:pt idx="9">
                  <c:v>87</c:v>
                </c:pt>
                <c:pt idx="10">
                  <c:v>67</c:v>
                </c:pt>
                <c:pt idx="11">
                  <c:v>80</c:v>
                </c:pt>
              </c:numCache>
            </c:numRef>
          </c:xVal>
          <c:yVal>
            <c:numRef>
              <c:f>'graphic (changeValue) ALLGEAR'!$BP$4:$BP$15</c:f>
              <c:numCache>
                <c:formatCode>_("$"* #,##0.00_);_("$"* \(#,##0.00\);_("$"* "-"??_);_(@_)</c:formatCode>
                <c:ptCount val="12"/>
                <c:pt idx="0">
                  <c:v>53720.935079867486</c:v>
                </c:pt>
                <c:pt idx="1">
                  <c:v>54485.779295986533</c:v>
                </c:pt>
                <c:pt idx="3">
                  <c:v>44770.514985493413</c:v>
                </c:pt>
                <c:pt idx="4">
                  <c:v>46144.175197643177</c:v>
                </c:pt>
                <c:pt idx="6">
                  <c:v>55775.764758727688</c:v>
                </c:pt>
                <c:pt idx="7">
                  <c:v>56273.435145900075</c:v>
                </c:pt>
                <c:pt idx="9">
                  <c:v>57105.779320453526</c:v>
                </c:pt>
                <c:pt idx="10">
                  <c:v>57840.070870169671</c:v>
                </c:pt>
              </c:numCache>
            </c:numRef>
          </c:yVal>
        </c:ser>
        <c:ser>
          <c:idx val="9"/>
          <c:order val="8"/>
          <c:tx>
            <c:strRef>
              <c:f>'graphic (changeValue) ALLGEAR'!$L$3</c:f>
              <c:strCache>
                <c:ptCount val="1"/>
                <c:pt idx="0">
                  <c:v>7c</c:v>
                </c:pt>
              </c:strCache>
            </c:strRef>
          </c:tx>
          <c:spPr>
            <a:ln w="28575">
              <a:noFill/>
            </a:ln>
          </c:spPr>
          <c:marker>
            <c:symbol val="none"/>
          </c:marker>
          <c:dLbls>
            <c:txPr>
              <a:bodyPr/>
              <a:lstStyle/>
              <a:p>
                <a:pPr>
                  <a:defRPr>
                    <a:solidFill>
                      <a:schemeClr val="accent4">
                        <a:lumMod val="75000"/>
                      </a:schemeClr>
                    </a:solidFill>
                  </a:defRPr>
                </a:pPr>
                <a:endParaRPr lang="en-US"/>
              </a:p>
            </c:txPr>
            <c:dLblPos val="ctr"/>
            <c:showSerName val="1"/>
          </c:dLbls>
          <c:xVal>
            <c:numRef>
              <c:f>'graphic (changeValue) ALLGEAR'!$L$4:$L$15</c:f>
              <c:numCache>
                <c:formatCode>0</c:formatCode>
                <c:ptCount val="12"/>
                <c:pt idx="0">
                  <c:v>70</c:v>
                </c:pt>
                <c:pt idx="1">
                  <c:v>55</c:v>
                </c:pt>
                <c:pt idx="2">
                  <c:v>65</c:v>
                </c:pt>
                <c:pt idx="3">
                  <c:v>70</c:v>
                </c:pt>
                <c:pt idx="4">
                  <c:v>55</c:v>
                </c:pt>
                <c:pt idx="5">
                  <c:v>65</c:v>
                </c:pt>
                <c:pt idx="6">
                  <c:v>70</c:v>
                </c:pt>
                <c:pt idx="7">
                  <c:v>55</c:v>
                </c:pt>
                <c:pt idx="8">
                  <c:v>65</c:v>
                </c:pt>
                <c:pt idx="9">
                  <c:v>70</c:v>
                </c:pt>
                <c:pt idx="10">
                  <c:v>55</c:v>
                </c:pt>
                <c:pt idx="11">
                  <c:v>65</c:v>
                </c:pt>
              </c:numCache>
            </c:numRef>
          </c:xVal>
          <c:yVal>
            <c:numRef>
              <c:f>'graphic (changeValue) ALLGEAR'!$BQ$4:$BQ$15</c:f>
              <c:numCache>
                <c:formatCode>_("$"* #,##0.00_);_("$"* \(#,##0.00\);_("$"* "-"??_);_(@_)</c:formatCode>
                <c:ptCount val="12"/>
                <c:pt idx="0">
                  <c:v>50866.391061324386</c:v>
                </c:pt>
                <c:pt idx="1">
                  <c:v>51631.235277443433</c:v>
                </c:pt>
                <c:pt idx="3">
                  <c:v>48204.385354170845</c:v>
                </c:pt>
                <c:pt idx="4">
                  <c:v>49578.045566320652</c:v>
                </c:pt>
                <c:pt idx="6">
                  <c:v>50690.415620534426</c:v>
                </c:pt>
                <c:pt idx="7">
                  <c:v>51188.086007706843</c:v>
                </c:pt>
                <c:pt idx="9">
                  <c:v>50188.247562512479</c:v>
                </c:pt>
                <c:pt idx="10">
                  <c:v>50922.539112228682</c:v>
                </c:pt>
              </c:numCache>
            </c:numRef>
          </c:yVal>
        </c:ser>
        <c:ser>
          <c:idx val="10"/>
          <c:order val="9"/>
          <c:tx>
            <c:strRef>
              <c:f>'graphic (changeValue) ALLGEAR'!$M$3</c:f>
              <c:strCache>
                <c:ptCount val="1"/>
                <c:pt idx="0">
                  <c:v>8a</c:v>
                </c:pt>
              </c:strCache>
            </c:strRef>
          </c:tx>
          <c:spPr>
            <a:ln w="28575">
              <a:noFill/>
            </a:ln>
          </c:spPr>
          <c:marker>
            <c:symbol val="none"/>
          </c:marker>
          <c:dLbls>
            <c:txPr>
              <a:bodyPr/>
              <a:lstStyle/>
              <a:p>
                <a:pPr>
                  <a:defRPr>
                    <a:solidFill>
                      <a:schemeClr val="accent6">
                        <a:lumMod val="75000"/>
                      </a:schemeClr>
                    </a:solidFill>
                  </a:defRPr>
                </a:pPr>
                <a:endParaRPr lang="en-US"/>
              </a:p>
            </c:txPr>
            <c:dLblPos val="ctr"/>
            <c:showSerName val="1"/>
          </c:dLbls>
          <c:xVal>
            <c:numRef>
              <c:f>'graphic (changeValue) ALLGEAR'!$M$4:$M$15</c:f>
              <c:numCache>
                <c:formatCode>0</c:formatCode>
                <c:ptCount val="12"/>
                <c:pt idx="0">
                  <c:v>39</c:v>
                </c:pt>
                <c:pt idx="1">
                  <c:v>43</c:v>
                </c:pt>
                <c:pt idx="2">
                  <c:v>35</c:v>
                </c:pt>
                <c:pt idx="3">
                  <c:v>38</c:v>
                </c:pt>
                <c:pt idx="4">
                  <c:v>41</c:v>
                </c:pt>
                <c:pt idx="5">
                  <c:v>34</c:v>
                </c:pt>
                <c:pt idx="6">
                  <c:v>39</c:v>
                </c:pt>
                <c:pt idx="7">
                  <c:v>42</c:v>
                </c:pt>
                <c:pt idx="8">
                  <c:v>34</c:v>
                </c:pt>
                <c:pt idx="9">
                  <c:v>39</c:v>
                </c:pt>
                <c:pt idx="10">
                  <c:v>43</c:v>
                </c:pt>
                <c:pt idx="11">
                  <c:v>35</c:v>
                </c:pt>
              </c:numCache>
            </c:numRef>
          </c:xVal>
          <c:yVal>
            <c:numRef>
              <c:f>'graphic (changeValue) ALLGEAR'!$BR$4:$BR$15</c:f>
              <c:numCache>
                <c:formatCode>_("$"* #,##0.00_);_("$"* \(#,##0.00\);_("$"* "-"??_);_(@_)</c:formatCode>
                <c:ptCount val="12"/>
                <c:pt idx="0">
                  <c:v>43933.388580804967</c:v>
                </c:pt>
                <c:pt idx="1">
                  <c:v>44229.814633592068</c:v>
                </c:pt>
                <c:pt idx="3">
                  <c:v>52528.426019845116</c:v>
                </c:pt>
                <c:pt idx="4">
                  <c:v>53060.807210650761</c:v>
                </c:pt>
                <c:pt idx="6">
                  <c:v>50095.586825524231</c:v>
                </c:pt>
                <c:pt idx="7">
                  <c:v>50288.465931294537</c:v>
                </c:pt>
                <c:pt idx="9">
                  <c:v>46268.208749478486</c:v>
                </c:pt>
                <c:pt idx="10">
                  <c:v>46552.793689901475</c:v>
                </c:pt>
              </c:numCache>
            </c:numRef>
          </c:yVal>
        </c:ser>
        <c:ser>
          <c:idx val="12"/>
          <c:order val="10"/>
          <c:tx>
            <c:strRef>
              <c:f>'graphic (changeValue) ALLGEAR'!$N$3</c:f>
              <c:strCache>
                <c:ptCount val="1"/>
                <c:pt idx="0">
                  <c:v>8b</c:v>
                </c:pt>
              </c:strCache>
            </c:strRef>
          </c:tx>
          <c:spPr>
            <a:ln w="28575">
              <a:noFill/>
            </a:ln>
          </c:spPr>
          <c:marker>
            <c:symbol val="none"/>
          </c:marker>
          <c:dLbls>
            <c:txPr>
              <a:bodyPr/>
              <a:lstStyle/>
              <a:p>
                <a:pPr>
                  <a:defRPr>
                    <a:solidFill>
                      <a:schemeClr val="accent6">
                        <a:lumMod val="60000"/>
                        <a:lumOff val="40000"/>
                      </a:schemeClr>
                    </a:solidFill>
                  </a:defRPr>
                </a:pPr>
                <a:endParaRPr lang="en-US"/>
              </a:p>
            </c:txPr>
            <c:dLblPos val="ctr"/>
            <c:showSerName val="1"/>
          </c:dLbls>
          <c:xVal>
            <c:numRef>
              <c:f>'graphic (changeValue) ALLGEAR'!$N$4:$N$15</c:f>
              <c:numCache>
                <c:formatCode>0</c:formatCode>
                <c:ptCount val="12"/>
                <c:pt idx="0">
                  <c:v>70</c:v>
                </c:pt>
                <c:pt idx="1">
                  <c:v>58</c:v>
                </c:pt>
                <c:pt idx="2">
                  <c:v>64</c:v>
                </c:pt>
                <c:pt idx="3">
                  <c:v>70</c:v>
                </c:pt>
                <c:pt idx="4">
                  <c:v>58</c:v>
                </c:pt>
                <c:pt idx="5">
                  <c:v>64</c:v>
                </c:pt>
                <c:pt idx="6">
                  <c:v>70</c:v>
                </c:pt>
                <c:pt idx="7">
                  <c:v>58</c:v>
                </c:pt>
                <c:pt idx="8">
                  <c:v>64</c:v>
                </c:pt>
                <c:pt idx="9">
                  <c:v>70</c:v>
                </c:pt>
                <c:pt idx="10">
                  <c:v>58</c:v>
                </c:pt>
                <c:pt idx="11">
                  <c:v>64</c:v>
                </c:pt>
              </c:numCache>
            </c:numRef>
          </c:xVal>
          <c:yVal>
            <c:numRef>
              <c:f>'graphic (changeValue) ALLGEAR'!$BS$4:$BS$15</c:f>
              <c:numCache>
                <c:formatCode>_("$"* #,##0.00_);_("$"* \(#,##0.00\);_("$"* "-"??_);_(@_)</c:formatCode>
                <c:ptCount val="12"/>
                <c:pt idx="0">
                  <c:v>50933.474871409868</c:v>
                </c:pt>
                <c:pt idx="1">
                  <c:v>51697.987426188782</c:v>
                </c:pt>
                <c:pt idx="3">
                  <c:v>48324.867877087563</c:v>
                </c:pt>
                <c:pt idx="4">
                  <c:v>49697.93242547079</c:v>
                </c:pt>
                <c:pt idx="6">
                  <c:v>50797.485224797412</c:v>
                </c:pt>
                <c:pt idx="7">
                  <c:v>51294.939805895789</c:v>
                </c:pt>
                <c:pt idx="9">
                  <c:v>50256.307558002467</c:v>
                </c:pt>
                <c:pt idx="10">
                  <c:v>50990.280695008812</c:v>
                </c:pt>
              </c:numCache>
            </c:numRef>
          </c:yVal>
        </c:ser>
        <c:ser>
          <c:idx val="13"/>
          <c:order val="11"/>
          <c:tx>
            <c:strRef>
              <c:f>'graphic (changeValue) ALLGEAR'!$BA$3</c:f>
              <c:strCache>
                <c:ptCount val="1"/>
                <c:pt idx="0">
                  <c:v>9a</c:v>
                </c:pt>
              </c:strCache>
            </c:strRef>
          </c:tx>
          <c:spPr>
            <a:ln w="28575">
              <a:noFill/>
            </a:ln>
          </c:spPr>
          <c:marker>
            <c:symbol val="none"/>
          </c:marker>
          <c:dLbls>
            <c:txPr>
              <a:bodyPr/>
              <a:lstStyle/>
              <a:p>
                <a:pPr>
                  <a:defRPr>
                    <a:solidFill>
                      <a:schemeClr val="accent3">
                        <a:lumMod val="50000"/>
                      </a:schemeClr>
                    </a:solidFill>
                  </a:defRPr>
                </a:pPr>
                <a:endParaRPr lang="en-US"/>
              </a:p>
            </c:txPr>
            <c:dLblPos val="ctr"/>
            <c:showSerName val="1"/>
          </c:dLbls>
          <c:xVal>
            <c:numRef>
              <c:f>'graphic (changeValue) ALLGEAR'!$O$4:$O$15</c:f>
              <c:numCache>
                <c:formatCode>0</c:formatCode>
                <c:ptCount val="12"/>
                <c:pt idx="0">
                  <c:v>62</c:v>
                </c:pt>
                <c:pt idx="1">
                  <c:v>57</c:v>
                </c:pt>
                <c:pt idx="2">
                  <c:v>56</c:v>
                </c:pt>
                <c:pt idx="3">
                  <c:v>62</c:v>
                </c:pt>
                <c:pt idx="4">
                  <c:v>56</c:v>
                </c:pt>
                <c:pt idx="5">
                  <c:v>56</c:v>
                </c:pt>
                <c:pt idx="6">
                  <c:v>62</c:v>
                </c:pt>
                <c:pt idx="7">
                  <c:v>56</c:v>
                </c:pt>
                <c:pt idx="8">
                  <c:v>56</c:v>
                </c:pt>
                <c:pt idx="9">
                  <c:v>62</c:v>
                </c:pt>
                <c:pt idx="10">
                  <c:v>56</c:v>
                </c:pt>
                <c:pt idx="11">
                  <c:v>56</c:v>
                </c:pt>
              </c:numCache>
            </c:numRef>
          </c:xVal>
          <c:yVal>
            <c:numRef>
              <c:f>'graphic (changeValue) ALLGEAR'!$BT$4:$BT$15</c:f>
              <c:numCache>
                <c:formatCode>_("$"* #,##0.00_);_("$"* \(#,##0.00\);_("$"* "-"??_);_(@_)</c:formatCode>
                <c:ptCount val="12"/>
                <c:pt idx="0">
                  <c:v>51312.080731573027</c:v>
                </c:pt>
                <c:pt idx="1">
                  <c:v>51811.773206102429</c:v>
                </c:pt>
                <c:pt idx="3">
                  <c:v>55582.438818683862</c:v>
                </c:pt>
                <c:pt idx="4">
                  <c:v>56479.886502938847</c:v>
                </c:pt>
                <c:pt idx="6">
                  <c:v>56634.401000998681</c:v>
                </c:pt>
                <c:pt idx="7">
                  <c:v>56959.541914697271</c:v>
                </c:pt>
                <c:pt idx="9">
                  <c:v>52214.192378134001</c:v>
                </c:pt>
                <c:pt idx="10">
                  <c:v>52693.924006838133</c:v>
                </c:pt>
              </c:numCache>
            </c:numRef>
          </c:yVal>
        </c:ser>
        <c:ser>
          <c:idx val="14"/>
          <c:order val="12"/>
          <c:tx>
            <c:strRef>
              <c:f>'graphic (changeValue) ALLGEAR'!$P$3</c:f>
              <c:strCache>
                <c:ptCount val="1"/>
                <c:pt idx="0">
                  <c:v>9b</c:v>
                </c:pt>
              </c:strCache>
            </c:strRef>
          </c:tx>
          <c:spPr>
            <a:ln w="28575">
              <a:noFill/>
            </a:ln>
          </c:spPr>
          <c:marker>
            <c:symbol val="none"/>
          </c:marker>
          <c:dLbls>
            <c:txPr>
              <a:bodyPr/>
              <a:lstStyle/>
              <a:p>
                <a:pPr>
                  <a:defRPr>
                    <a:solidFill>
                      <a:schemeClr val="accent3">
                        <a:lumMod val="75000"/>
                      </a:schemeClr>
                    </a:solidFill>
                  </a:defRPr>
                </a:pPr>
                <a:endParaRPr lang="en-US"/>
              </a:p>
            </c:txPr>
            <c:dLblPos val="ctr"/>
            <c:showSerName val="1"/>
          </c:dLbls>
          <c:xVal>
            <c:numRef>
              <c:f>'graphic (changeValue) ALLGEAR'!$P$4:$P$15</c:f>
              <c:numCache>
                <c:formatCode>0</c:formatCode>
                <c:ptCount val="12"/>
                <c:pt idx="0">
                  <c:v>79</c:v>
                </c:pt>
                <c:pt idx="1">
                  <c:v>64</c:v>
                </c:pt>
                <c:pt idx="2">
                  <c:v>71</c:v>
                </c:pt>
                <c:pt idx="3">
                  <c:v>79</c:v>
                </c:pt>
                <c:pt idx="4">
                  <c:v>64</c:v>
                </c:pt>
                <c:pt idx="5">
                  <c:v>71</c:v>
                </c:pt>
                <c:pt idx="6">
                  <c:v>79</c:v>
                </c:pt>
                <c:pt idx="7">
                  <c:v>64</c:v>
                </c:pt>
                <c:pt idx="8">
                  <c:v>71</c:v>
                </c:pt>
                <c:pt idx="9">
                  <c:v>79</c:v>
                </c:pt>
                <c:pt idx="10">
                  <c:v>64</c:v>
                </c:pt>
                <c:pt idx="11">
                  <c:v>71</c:v>
                </c:pt>
              </c:numCache>
            </c:numRef>
          </c:xVal>
          <c:yVal>
            <c:numRef>
              <c:f>'graphic (changeValue) ALLGEAR'!$BU$4:$BU$15</c:f>
              <c:numCache>
                <c:formatCode>_("$"* #,##0.00_);_("$"* \(#,##0.00\);_("$"* "-"??_);_(@_)</c:formatCode>
                <c:ptCount val="12"/>
                <c:pt idx="0">
                  <c:v>54038.154884387513</c:v>
                </c:pt>
                <c:pt idx="1">
                  <c:v>54802.667439166638</c:v>
                </c:pt>
                <c:pt idx="3">
                  <c:v>47111.558217561811</c:v>
                </c:pt>
                <c:pt idx="4">
                  <c:v>48484.622765944994</c:v>
                </c:pt>
                <c:pt idx="6">
                  <c:v>53750.687254756689</c:v>
                </c:pt>
                <c:pt idx="7">
                  <c:v>54248.141835854862</c:v>
                </c:pt>
                <c:pt idx="9">
                  <c:v>55191.814524699519</c:v>
                </c:pt>
                <c:pt idx="10">
                  <c:v>55925.787661706076</c:v>
                </c:pt>
              </c:numCache>
            </c:numRef>
          </c:yVal>
        </c:ser>
        <c:ser>
          <c:idx val="11"/>
          <c:order val="13"/>
          <c:tx>
            <c:strRef>
              <c:f>'graphic (changeValue) ALLGEAR'!$Q$3</c:f>
              <c:strCache>
                <c:ptCount val="1"/>
                <c:pt idx="0">
                  <c:v>10</c:v>
                </c:pt>
              </c:strCache>
            </c:strRef>
          </c:tx>
          <c:spPr>
            <a:ln w="28575">
              <a:noFill/>
            </a:ln>
          </c:spPr>
          <c:marker>
            <c:symbol val="none"/>
          </c:marker>
          <c:dLbls>
            <c:txPr>
              <a:bodyPr/>
              <a:lstStyle/>
              <a:p>
                <a:pPr>
                  <a:defRPr>
                    <a:solidFill>
                      <a:schemeClr val="bg1">
                        <a:lumMod val="65000"/>
                      </a:schemeClr>
                    </a:solidFill>
                  </a:defRPr>
                </a:pPr>
                <a:endParaRPr lang="en-US"/>
              </a:p>
            </c:txPr>
            <c:dLblPos val="ctr"/>
            <c:showSerName val="1"/>
          </c:dLbls>
          <c:xVal>
            <c:numRef>
              <c:f>'graphic (changeValue) ALLGEAR'!$Q$4:$Q$15</c:f>
              <c:numCache>
                <c:formatCode>0</c:formatCode>
                <c:ptCount val="12"/>
                <c:pt idx="0">
                  <c:v>38</c:v>
                </c:pt>
                <c:pt idx="1">
                  <c:v>42</c:v>
                </c:pt>
                <c:pt idx="2">
                  <c:v>34</c:v>
                </c:pt>
                <c:pt idx="3">
                  <c:v>38</c:v>
                </c:pt>
                <c:pt idx="4">
                  <c:v>42</c:v>
                </c:pt>
                <c:pt idx="5">
                  <c:v>34</c:v>
                </c:pt>
                <c:pt idx="6">
                  <c:v>38</c:v>
                </c:pt>
                <c:pt idx="7">
                  <c:v>42</c:v>
                </c:pt>
                <c:pt idx="8">
                  <c:v>34</c:v>
                </c:pt>
                <c:pt idx="9">
                  <c:v>38</c:v>
                </c:pt>
                <c:pt idx="10">
                  <c:v>42</c:v>
                </c:pt>
                <c:pt idx="11">
                  <c:v>34</c:v>
                </c:pt>
              </c:numCache>
            </c:numRef>
          </c:xVal>
          <c:yVal>
            <c:numRef>
              <c:f>'graphic (changeValue) ALLGEAR'!$BV$4:$BV$15</c:f>
              <c:numCache>
                <c:formatCode>_("$"* #,##0.00_);_("$"* \(#,##0.00\);_("$"* "-"??_);_(@_)</c:formatCode>
                <c:ptCount val="12"/>
                <c:pt idx="0">
                  <c:v>50933.474871409868</c:v>
                </c:pt>
                <c:pt idx="1">
                  <c:v>51697.987426188782</c:v>
                </c:pt>
                <c:pt idx="3">
                  <c:v>48324.867877087563</c:v>
                </c:pt>
                <c:pt idx="4">
                  <c:v>49697.93242547079</c:v>
                </c:pt>
                <c:pt idx="6">
                  <c:v>50797.485224797412</c:v>
                </c:pt>
                <c:pt idx="7">
                  <c:v>51294.939805895789</c:v>
                </c:pt>
                <c:pt idx="9">
                  <c:v>50256.307558002467</c:v>
                </c:pt>
                <c:pt idx="10">
                  <c:v>50990.280695008812</c:v>
                </c:pt>
              </c:numCache>
            </c:numRef>
          </c:yVal>
        </c:ser>
        <c:ser>
          <c:idx val="1"/>
          <c:order val="14"/>
          <c:tx>
            <c:strRef>
              <c:f>'graphic (changeValue) ALLGEAR'!$R$3</c:f>
              <c:strCache>
                <c:ptCount val="1"/>
                <c:pt idx="0">
                  <c:v>11</c:v>
                </c:pt>
              </c:strCache>
            </c:strRef>
          </c:tx>
          <c:spPr>
            <a:ln w="28575">
              <a:noFill/>
            </a:ln>
          </c:spPr>
          <c:marker>
            <c:symbol val="none"/>
          </c:marker>
          <c:dLbls>
            <c:txPr>
              <a:bodyPr/>
              <a:lstStyle/>
              <a:p>
                <a:pPr>
                  <a:defRPr>
                    <a:solidFill>
                      <a:srgbClr val="FFC000"/>
                    </a:solidFill>
                  </a:defRPr>
                </a:pPr>
                <a:endParaRPr lang="en-US"/>
              </a:p>
            </c:txPr>
            <c:dLblPos val="ctr"/>
            <c:showSerName val="1"/>
          </c:dLbls>
          <c:xVal>
            <c:numRef>
              <c:f>'graphic (changeValue) ALLGEAR'!$R$4:$R$15</c:f>
              <c:numCache>
                <c:formatCode>0</c:formatCode>
                <c:ptCount val="12"/>
                <c:pt idx="0">
                  <c:v>3</c:v>
                </c:pt>
                <c:pt idx="1">
                  <c:v>7</c:v>
                </c:pt>
                <c:pt idx="2">
                  <c:v>5</c:v>
                </c:pt>
                <c:pt idx="3">
                  <c:v>3</c:v>
                </c:pt>
                <c:pt idx="4">
                  <c:v>7</c:v>
                </c:pt>
                <c:pt idx="5">
                  <c:v>5</c:v>
                </c:pt>
                <c:pt idx="6">
                  <c:v>3</c:v>
                </c:pt>
                <c:pt idx="7">
                  <c:v>7</c:v>
                </c:pt>
                <c:pt idx="8">
                  <c:v>5</c:v>
                </c:pt>
                <c:pt idx="9">
                  <c:v>3</c:v>
                </c:pt>
                <c:pt idx="10">
                  <c:v>7</c:v>
                </c:pt>
                <c:pt idx="11">
                  <c:v>5</c:v>
                </c:pt>
              </c:numCache>
            </c:numRef>
          </c:xVal>
          <c:yVal>
            <c:numRef>
              <c:f>'graphic (changeValue) ALLGEAR'!$BW$4:$BW$15</c:f>
              <c:numCache>
                <c:formatCode>_("$"* #,##0.00_);_("$"* \(#,##0.00\);_("$"* "-"??_);_(@_)</c:formatCode>
                <c:ptCount val="12"/>
                <c:pt idx="0">
                  <c:v>45640.490281684994</c:v>
                </c:pt>
                <c:pt idx="1">
                  <c:v>45833.807294629281</c:v>
                </c:pt>
                <c:pt idx="3">
                  <c:v>43541.470471374036</c:v>
                </c:pt>
                <c:pt idx="4">
                  <c:v>43888.667826622026</c:v>
                </c:pt>
                <c:pt idx="6">
                  <c:v>45569.953541244613</c:v>
                </c:pt>
                <c:pt idx="7">
                  <c:v>45695.741447659137</c:v>
                </c:pt>
                <c:pt idx="9">
                  <c:v>46367.49866528553</c:v>
                </c:pt>
                <c:pt idx="10">
                  <c:v>46553.093386445427</c:v>
                </c:pt>
              </c:numCache>
            </c:numRef>
          </c:yVal>
        </c:ser>
        <c:ser>
          <c:idx val="15"/>
          <c:order val="15"/>
          <c:tx>
            <c:strRef>
              <c:f>'graphic (changeValue) ALLGEAR'!$S$3</c:f>
              <c:strCache>
                <c:ptCount val="1"/>
                <c:pt idx="0">
                  <c:v>12</c:v>
                </c:pt>
              </c:strCache>
            </c:strRef>
          </c:tx>
          <c:spPr>
            <a:ln w="28575">
              <a:noFill/>
            </a:ln>
          </c:spPr>
          <c:marker>
            <c:symbol val="none"/>
          </c:marker>
          <c:dLbls>
            <c:spPr>
              <a:noFill/>
            </c:spPr>
            <c:txPr>
              <a:bodyPr/>
              <a:lstStyle/>
              <a:p>
                <a:pPr>
                  <a:defRPr>
                    <a:solidFill>
                      <a:srgbClr val="00B050"/>
                    </a:solidFill>
                  </a:defRPr>
                </a:pPr>
                <a:endParaRPr lang="en-US"/>
              </a:p>
            </c:txPr>
            <c:dLblPos val="ctr"/>
            <c:showSerName val="1"/>
          </c:dLbls>
          <c:xVal>
            <c:numRef>
              <c:f>'graphic (changeValue) ALLGEAR'!$S$4:$S$15</c:f>
              <c:numCache>
                <c:formatCode>0</c:formatCode>
                <c:ptCount val="12"/>
                <c:pt idx="0">
                  <c:v>6</c:v>
                </c:pt>
                <c:pt idx="1">
                  <c:v>5</c:v>
                </c:pt>
                <c:pt idx="2">
                  <c:v>6</c:v>
                </c:pt>
                <c:pt idx="3">
                  <c:v>6</c:v>
                </c:pt>
                <c:pt idx="4">
                  <c:v>5</c:v>
                </c:pt>
                <c:pt idx="5">
                  <c:v>6</c:v>
                </c:pt>
                <c:pt idx="6">
                  <c:v>6</c:v>
                </c:pt>
                <c:pt idx="7">
                  <c:v>5</c:v>
                </c:pt>
                <c:pt idx="8">
                  <c:v>6</c:v>
                </c:pt>
                <c:pt idx="9">
                  <c:v>6</c:v>
                </c:pt>
                <c:pt idx="10">
                  <c:v>5</c:v>
                </c:pt>
                <c:pt idx="11">
                  <c:v>6</c:v>
                </c:pt>
              </c:numCache>
            </c:numRef>
          </c:xVal>
          <c:yVal>
            <c:numRef>
              <c:f>'graphic (changeValue) ALLGEAR'!$BX$4:$BX$15</c:f>
              <c:numCache>
                <c:formatCode>_("$"* #,##0.00_);_("$"* \(#,##0.00\);_("$"* "-"??_);_(@_)</c:formatCode>
                <c:ptCount val="12"/>
                <c:pt idx="0">
                  <c:v>45722.717027325882</c:v>
                </c:pt>
                <c:pt idx="1">
                  <c:v>45956.195170203137</c:v>
                </c:pt>
                <c:pt idx="3">
                  <c:v>48491.613117131594</c:v>
                </c:pt>
                <c:pt idx="4">
                  <c:v>48910.939861739025</c:v>
                </c:pt>
                <c:pt idx="6">
                  <c:v>44941.005779009778</c:v>
                </c:pt>
                <c:pt idx="7">
                  <c:v>45092.925810975961</c:v>
                </c:pt>
                <c:pt idx="9">
                  <c:v>46940.636077279712</c:v>
                </c:pt>
                <c:pt idx="10">
                  <c:v>47164.78764140862</c:v>
                </c:pt>
              </c:numCache>
            </c:numRef>
          </c:yVal>
        </c:ser>
        <c:dLbls>
          <c:showVal val="1"/>
        </c:dLbls>
        <c:axId val="112578560"/>
        <c:axId val="112580480"/>
      </c:scatterChart>
      <c:valAx>
        <c:axId val="112578560"/>
        <c:scaling>
          <c:orientation val="minMax"/>
          <c:max val="100"/>
          <c:min val="0"/>
        </c:scaling>
        <c:axPos val="b"/>
        <c:title>
          <c:tx>
            <c:rich>
              <a:bodyPr/>
              <a:lstStyle/>
              <a:p>
                <a:pPr>
                  <a:defRPr sz="1600"/>
                </a:pPr>
                <a:r>
                  <a:rPr lang="en-US" sz="1600"/>
                  <a:t>NARW Relative Risk</a:t>
                </a:r>
              </a:p>
              <a:p>
                <a:pPr>
                  <a:defRPr sz="1600"/>
                </a:pPr>
                <a:r>
                  <a:rPr lang="en-US" sz="1600"/>
                  <a:t>(FL-SC)</a:t>
                </a:r>
              </a:p>
            </c:rich>
          </c:tx>
        </c:title>
        <c:numFmt formatCode="#,##0" sourceLinked="0"/>
        <c:tickLblPos val="nextTo"/>
        <c:txPr>
          <a:bodyPr/>
          <a:lstStyle/>
          <a:p>
            <a:pPr>
              <a:defRPr sz="1200"/>
            </a:pPr>
            <a:endParaRPr lang="en-US"/>
          </a:p>
        </c:txPr>
        <c:crossAx val="112580480"/>
        <c:crosses val="autoZero"/>
        <c:crossBetween val="midCat"/>
        <c:majorUnit val="20"/>
      </c:valAx>
      <c:valAx>
        <c:axId val="112580480"/>
        <c:scaling>
          <c:orientation val="minMax"/>
          <c:min val="40000"/>
        </c:scaling>
        <c:axPos val="l"/>
        <c:majorGridlines/>
        <c:title>
          <c:tx>
            <c:rich>
              <a:bodyPr rot="-5400000" vert="horz"/>
              <a:lstStyle/>
              <a:p>
                <a:pPr>
                  <a:defRPr sz="1600"/>
                </a:pPr>
                <a:r>
                  <a:rPr lang="en-US" sz="1600"/>
                  <a:t>Estimated</a:t>
                </a:r>
                <a:r>
                  <a:rPr lang="en-US" sz="1600" baseline="0"/>
                  <a:t> Change in Value vs. Alternative 1 (All Gears)</a:t>
                </a:r>
                <a:endParaRPr lang="en-US" sz="1600"/>
              </a:p>
            </c:rich>
          </c:tx>
        </c:title>
        <c:numFmt formatCode="General" sourceLinked="1"/>
        <c:majorTickMark val="cross"/>
        <c:minorTickMark val="out"/>
        <c:tickLblPos val="nextTo"/>
        <c:txPr>
          <a:bodyPr/>
          <a:lstStyle/>
          <a:p>
            <a:pPr>
              <a:defRPr sz="1200"/>
            </a:pPr>
            <a:endParaRPr lang="en-US"/>
          </a:p>
        </c:txPr>
        <c:crossAx val="112578560"/>
        <c:crosses val="autoZero"/>
        <c:crossBetween val="midCat"/>
      </c:valAx>
    </c:plotArea>
    <c:plotVisOnly val="1"/>
    <c:dispBlanksAs val="gap"/>
  </c:chart>
  <c:txPr>
    <a:bodyPr/>
    <a:lstStyle/>
    <a:p>
      <a:pPr>
        <a:defRPr sz="16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0"/>
          <c:order val="0"/>
          <c:tx>
            <c:strRef>
              <c:f>'graphic (changeValue) ALLGEAR'!$C$3</c:f>
              <c:strCache>
                <c:ptCount val="1"/>
                <c:pt idx="0">
                  <c:v>1</c:v>
                </c:pt>
              </c:strCache>
            </c:strRef>
          </c:tx>
          <c:spPr>
            <a:ln w="28575">
              <a:noFill/>
            </a:ln>
          </c:spPr>
          <c:marker>
            <c:symbol val="none"/>
          </c:marker>
          <c:dLbls>
            <c:txPr>
              <a:bodyPr/>
              <a:lstStyle/>
              <a:p>
                <a:pPr>
                  <a:defRPr>
                    <a:solidFill>
                      <a:schemeClr val="bg1">
                        <a:lumMod val="50000"/>
                      </a:schemeClr>
                    </a:solidFill>
                  </a:defRPr>
                </a:pPr>
                <a:endParaRPr lang="en-US"/>
              </a:p>
            </c:txPr>
            <c:dLblPos val="ctr"/>
            <c:showSerName val="1"/>
          </c:dLbls>
          <c:xVal>
            <c:numRef>
              <c:f>'graphic (changeValue) ALLGEAR'!$V$4:$V$15</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f>'graphic (changeValue) ALLGEAR'!$BH$4:$BH$15</c:f>
              <c:numCache>
                <c:formatCode>General</c:formatCode>
                <c:ptCount val="12"/>
              </c:numCache>
            </c:numRef>
          </c:yVal>
        </c:ser>
        <c:ser>
          <c:idx val="2"/>
          <c:order val="1"/>
          <c:tx>
            <c:strRef>
              <c:f>'graphic (changeValue) ALLGEAR'!$E$3</c:f>
              <c:strCache>
                <c:ptCount val="1"/>
                <c:pt idx="0">
                  <c:v>2</c:v>
                </c:pt>
              </c:strCache>
            </c:strRef>
          </c:tx>
          <c:spPr>
            <a:ln w="28575">
              <a:noFill/>
            </a:ln>
          </c:spPr>
          <c:marker>
            <c:symbol val="none"/>
          </c:marker>
          <c:dLbls>
            <c:txPr>
              <a:bodyPr/>
              <a:lstStyle/>
              <a:p>
                <a:pPr>
                  <a:defRPr>
                    <a:ln>
                      <a:solidFill>
                        <a:srgbClr val="00B0F0"/>
                      </a:solidFill>
                    </a:ln>
                  </a:defRPr>
                </a:pPr>
                <a:endParaRPr lang="en-US"/>
              </a:p>
            </c:txPr>
            <c:dLblPos val="ctr"/>
            <c:showSerName val="1"/>
          </c:dLbls>
          <c:xVal>
            <c:numRef>
              <c:f>'graphic (changeValue) ALLGEAR'!$X$4:$X$15</c:f>
              <c:numCache>
                <c:formatCode>0</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xVal>
          <c:yVal>
            <c:numRef>
              <c:f>'graphic (changeValue) ALLGEAR'!$BJ$4:$BJ$15</c:f>
              <c:numCache>
                <c:formatCode>General</c:formatCode>
                <c:ptCount val="12"/>
                <c:pt idx="0" formatCode="_(&quot;$&quot;* #,##0.00_);_(&quot;$&quot;* \(#,##0.00\);_(&quot;$&quot;* &quot;-&quot;??_);_(@_)">
                  <c:v>55578.993748720924</c:v>
                </c:pt>
                <c:pt idx="1">
                  <c:v>56343.904297107867</c:v>
                </c:pt>
                <c:pt idx="3" formatCode="_(&quot;$&quot;* #,##0.00_);_(&quot;$&quot;* \(#,##0.00\);_(&quot;$&quot;* &quot;-&quot;??_);_(@_)">
                  <c:v>41654.495599435199</c:v>
                </c:pt>
                <c:pt idx="4" formatCode="_(&quot;$&quot;* #,##0.00_);_(&quot;$&quot;* \(#,##0.00\);_(&quot;$&quot;* &quot;-&quot;??_);_(@_)">
                  <c:v>43028.274944338482</c:v>
                </c:pt>
                <c:pt idx="6" formatCode="_(&quot;$&quot;* #,##0.00_);_(&quot;$&quot;* \(#,##0.00\);_(&quot;$&quot;* &quot;-&quot;??_);_(@_)">
                  <c:v>54864.712627801287</c:v>
                </c:pt>
                <c:pt idx="7" formatCode="_(&quot;$&quot;* #,##0.00_);_(&quot;$&quot;* \(#,##0.00\);_(&quot;$&quot;* &quot;-&quot;??_);_(@_)">
                  <c:v>55362.426176188543</c:v>
                </c:pt>
                <c:pt idx="9" formatCode="_(&quot;$&quot;* #,##0.00_);_(&quot;$&quot;* \(#,##0.00\);_(&quot;$&quot;* &quot;-&quot;??_);_(@_)">
                  <c:v>59232.932533793188</c:v>
                </c:pt>
                <c:pt idx="10" formatCode="_(&quot;$&quot;* #,##0.00_);_(&quot;$&quot;* \(#,##0.00\);_(&quot;$&quot;* &quot;-&quot;??_);_(@_)">
                  <c:v>59967.287766051137</c:v>
                </c:pt>
              </c:numCache>
            </c:numRef>
          </c:yVal>
        </c:ser>
        <c:ser>
          <c:idx val="3"/>
          <c:order val="2"/>
          <c:tx>
            <c:strRef>
              <c:f>'graphic (changeValue) ALLGEAR'!$F$3</c:f>
              <c:strCache>
                <c:ptCount val="1"/>
                <c:pt idx="0">
                  <c:v>3</c:v>
                </c:pt>
              </c:strCache>
            </c:strRef>
          </c:tx>
          <c:spPr>
            <a:ln w="28575">
              <a:noFill/>
            </a:ln>
          </c:spPr>
          <c:marker>
            <c:symbol val="none"/>
          </c:marker>
          <c:dLbls>
            <c:txPr>
              <a:bodyPr/>
              <a:lstStyle/>
              <a:p>
                <a:pPr>
                  <a:defRPr>
                    <a:ln>
                      <a:solidFill>
                        <a:srgbClr val="00B050"/>
                      </a:solidFill>
                    </a:ln>
                  </a:defRPr>
                </a:pPr>
                <a:endParaRPr lang="en-US"/>
              </a:p>
            </c:txPr>
            <c:dLblPos val="ctr"/>
            <c:showSerName val="1"/>
          </c:dLbls>
          <c:xVal>
            <c:numRef>
              <c:f>'graphic (changeValue) ALLGEAR'!$Y$4:$Y$15</c:f>
              <c:numCache>
                <c:formatCode>0</c:formatCode>
                <c:ptCount val="12"/>
                <c:pt idx="0">
                  <c:v>14</c:v>
                </c:pt>
                <c:pt idx="1">
                  <c:v>26</c:v>
                </c:pt>
                <c:pt idx="2">
                  <c:v>17</c:v>
                </c:pt>
                <c:pt idx="3">
                  <c:v>10</c:v>
                </c:pt>
                <c:pt idx="4">
                  <c:v>21</c:v>
                </c:pt>
                <c:pt idx="5">
                  <c:v>13</c:v>
                </c:pt>
                <c:pt idx="6">
                  <c:v>10</c:v>
                </c:pt>
                <c:pt idx="7">
                  <c:v>21</c:v>
                </c:pt>
                <c:pt idx="8">
                  <c:v>13</c:v>
                </c:pt>
                <c:pt idx="9">
                  <c:v>14</c:v>
                </c:pt>
                <c:pt idx="10">
                  <c:v>26</c:v>
                </c:pt>
                <c:pt idx="11">
                  <c:v>16</c:v>
                </c:pt>
              </c:numCache>
            </c:numRef>
          </c:xVal>
          <c:yVal>
            <c:numRef>
              <c:f>'graphic (changeValue) ALLGEAR'!$BK$4:$BK$15</c:f>
              <c:numCache>
                <c:formatCode>_("$"* #,##0.00_);_("$"* \(#,##0.00\);_("$"* "-"??_);_(@_)</c:formatCode>
                <c:ptCount val="12"/>
                <c:pt idx="0">
                  <c:v>48665.576236927918</c:v>
                </c:pt>
                <c:pt idx="1">
                  <c:v>49039.806666515025</c:v>
                </c:pt>
                <c:pt idx="3">
                  <c:v>57925.19195152117</c:v>
                </c:pt>
                <c:pt idx="4">
                  <c:v>58597.309803060023</c:v>
                </c:pt>
                <c:pt idx="6">
                  <c:v>53394.94290405931</c:v>
                </c:pt>
                <c:pt idx="7">
                  <c:v>53638.447919667931</c:v>
                </c:pt>
                <c:pt idx="9">
                  <c:v>50416.951798509326</c:v>
                </c:pt>
                <c:pt idx="10">
                  <c:v>50776.233121817975</c:v>
                </c:pt>
              </c:numCache>
            </c:numRef>
          </c:yVal>
        </c:ser>
        <c:ser>
          <c:idx val="4"/>
          <c:order val="3"/>
          <c:tx>
            <c:strRef>
              <c:f>'graphic (changeValue) ALLGEAR'!$G$3</c:f>
              <c:strCache>
                <c:ptCount val="1"/>
                <c:pt idx="0">
                  <c:v>4</c:v>
                </c:pt>
              </c:strCache>
            </c:strRef>
          </c:tx>
          <c:spPr>
            <a:ln w="28575">
              <a:noFill/>
            </a:ln>
          </c:spPr>
          <c:marker>
            <c:symbol val="none"/>
          </c:marker>
          <c:dLbls>
            <c:txPr>
              <a:bodyPr/>
              <a:lstStyle/>
              <a:p>
                <a:pPr>
                  <a:defRPr>
                    <a:solidFill>
                      <a:schemeClr val="accent6">
                        <a:lumMod val="75000"/>
                      </a:schemeClr>
                    </a:solidFill>
                  </a:defRPr>
                </a:pPr>
                <a:endParaRPr lang="en-US"/>
              </a:p>
            </c:txPr>
            <c:dLblPos val="ctr"/>
            <c:showSerName val="1"/>
          </c:dLbls>
          <c:xVal>
            <c:numRef>
              <c:f>'graphic (changeValue) ALLGEAR'!$Z$4:$Z$15</c:f>
              <c:numCache>
                <c:formatCode>0</c:formatCode>
                <c:ptCount val="12"/>
                <c:pt idx="0">
                  <c:v>2</c:v>
                </c:pt>
                <c:pt idx="1">
                  <c:v>8</c:v>
                </c:pt>
                <c:pt idx="2">
                  <c:v>4</c:v>
                </c:pt>
                <c:pt idx="3">
                  <c:v>2</c:v>
                </c:pt>
                <c:pt idx="4">
                  <c:v>8</c:v>
                </c:pt>
                <c:pt idx="5">
                  <c:v>3</c:v>
                </c:pt>
                <c:pt idx="6">
                  <c:v>2</c:v>
                </c:pt>
                <c:pt idx="7">
                  <c:v>8</c:v>
                </c:pt>
                <c:pt idx="8">
                  <c:v>3</c:v>
                </c:pt>
                <c:pt idx="9">
                  <c:v>2</c:v>
                </c:pt>
                <c:pt idx="10">
                  <c:v>8</c:v>
                </c:pt>
                <c:pt idx="11">
                  <c:v>3</c:v>
                </c:pt>
              </c:numCache>
            </c:numRef>
          </c:xVal>
          <c:yVal>
            <c:numRef>
              <c:f>'graphic (changeValue) ALLGEAR'!$BL$4:$BL$15</c:f>
              <c:numCache>
                <c:formatCode>_("$"* #,##0.00_);_("$"* \(#,##0.00\);_("$"* "-"??_);_(@_)</c:formatCode>
                <c:ptCount val="12"/>
                <c:pt idx="0">
                  <c:v>43848.645004657075</c:v>
                </c:pt>
                <c:pt idx="1">
                  <c:v>44041.962017601356</c:v>
                </c:pt>
                <c:pt idx="3">
                  <c:v>44929.206870586378</c:v>
                </c:pt>
                <c:pt idx="4">
                  <c:v>45276.404225834413</c:v>
                </c:pt>
                <c:pt idx="6">
                  <c:v>46573.677272875786</c:v>
                </c:pt>
                <c:pt idx="7">
                  <c:v>46699.46517929039</c:v>
                </c:pt>
                <c:pt idx="9">
                  <c:v>43207.342838953751</c:v>
                </c:pt>
                <c:pt idx="10">
                  <c:v>43392.937560113576</c:v>
                </c:pt>
              </c:numCache>
            </c:numRef>
          </c:yVal>
        </c:ser>
        <c:ser>
          <c:idx val="5"/>
          <c:order val="4"/>
          <c:tx>
            <c:strRef>
              <c:f>'graphic (changeValue) ALLGEAR'!$H$3</c:f>
              <c:strCache>
                <c:ptCount val="1"/>
                <c:pt idx="0">
                  <c:v>5</c:v>
                </c:pt>
              </c:strCache>
            </c:strRef>
          </c:tx>
          <c:spPr>
            <a:ln w="28575">
              <a:noFill/>
            </a:ln>
          </c:spPr>
          <c:marker>
            <c:symbol val="none"/>
          </c:marker>
          <c:dLbls>
            <c:txPr>
              <a:bodyPr/>
              <a:lstStyle/>
              <a:p>
                <a:pPr>
                  <a:defRPr>
                    <a:solidFill>
                      <a:srgbClr val="C00000"/>
                    </a:solidFill>
                  </a:defRPr>
                </a:pPr>
                <a:endParaRPr lang="en-US"/>
              </a:p>
            </c:txPr>
            <c:dLblPos val="ctr"/>
            <c:showSerName val="1"/>
          </c:dLbls>
          <c:xVal>
            <c:numRef>
              <c:f>'graphic (changeValue) ALLGEAR'!$AA$4:$AA$15</c:f>
              <c:numCache>
                <c:formatCode>0</c:formatCode>
                <c:ptCount val="12"/>
                <c:pt idx="0">
                  <c:v>2</c:v>
                </c:pt>
                <c:pt idx="1">
                  <c:v>2</c:v>
                </c:pt>
                <c:pt idx="2">
                  <c:v>2</c:v>
                </c:pt>
                <c:pt idx="3">
                  <c:v>2</c:v>
                </c:pt>
                <c:pt idx="4">
                  <c:v>1</c:v>
                </c:pt>
                <c:pt idx="5">
                  <c:v>2</c:v>
                </c:pt>
                <c:pt idx="6">
                  <c:v>2</c:v>
                </c:pt>
                <c:pt idx="7">
                  <c:v>1</c:v>
                </c:pt>
                <c:pt idx="8">
                  <c:v>2</c:v>
                </c:pt>
                <c:pt idx="9">
                  <c:v>2</c:v>
                </c:pt>
                <c:pt idx="10">
                  <c:v>2</c:v>
                </c:pt>
                <c:pt idx="11">
                  <c:v>2</c:v>
                </c:pt>
              </c:numCache>
            </c:numRef>
          </c:xVal>
          <c:yVal>
            <c:numRef>
              <c:f>'graphic (changeValue) ALLGEAR'!$BM$4:$BM$15</c:f>
              <c:numCache>
                <c:formatCode>_("$"* #,##0.00_);_("$"* \(#,##0.00\);_("$"* "-"??_);_(@_)</c:formatCode>
                <c:ptCount val="12"/>
                <c:pt idx="0">
                  <c:v>44747.448155692815</c:v>
                </c:pt>
                <c:pt idx="1">
                  <c:v>44967.330090127653</c:v>
                </c:pt>
                <c:pt idx="3">
                  <c:v>48035.710180691138</c:v>
                </c:pt>
                <c:pt idx="4">
                  <c:v>48430.618134936332</c:v>
                </c:pt>
                <c:pt idx="6">
                  <c:v>45777.002883214736</c:v>
                </c:pt>
                <c:pt idx="7">
                  <c:v>45920.076106671477</c:v>
                </c:pt>
                <c:pt idx="9">
                  <c:v>45404.452288114713</c:v>
                </c:pt>
                <c:pt idx="10">
                  <c:v>45615.550761487582</c:v>
                </c:pt>
              </c:numCache>
            </c:numRef>
          </c:yVal>
        </c:ser>
        <c:ser>
          <c:idx val="6"/>
          <c:order val="5"/>
          <c:tx>
            <c:strRef>
              <c:f>'graphic (changeValue) ALLGEAR'!$I$3</c:f>
              <c:strCache>
                <c:ptCount val="1"/>
                <c:pt idx="0">
                  <c:v>6</c:v>
                </c:pt>
              </c:strCache>
            </c:strRef>
          </c:tx>
          <c:spPr>
            <a:ln w="28575">
              <a:noFill/>
            </a:ln>
          </c:spPr>
          <c:marker>
            <c:symbol val="none"/>
          </c:marker>
          <c:dLbls>
            <c:txPr>
              <a:bodyPr/>
              <a:lstStyle/>
              <a:p>
                <a:pPr>
                  <a:defRPr>
                    <a:solidFill>
                      <a:schemeClr val="tx2">
                        <a:lumMod val="60000"/>
                        <a:lumOff val="40000"/>
                      </a:schemeClr>
                    </a:solidFill>
                  </a:defRPr>
                </a:pPr>
                <a:endParaRPr lang="en-US"/>
              </a:p>
            </c:txPr>
            <c:dLblPos val="ctr"/>
            <c:showSerName val="1"/>
          </c:dLbls>
          <c:xVal>
            <c:numRef>
              <c:f>'graphic (changeValue) ALLGEAR'!$AB$4:$AB$15</c:f>
              <c:numCache>
                <c:formatCode>0</c:formatCode>
                <c:ptCount val="12"/>
                <c:pt idx="0">
                  <c:v>2</c:v>
                </c:pt>
                <c:pt idx="1">
                  <c:v>8</c:v>
                </c:pt>
                <c:pt idx="2">
                  <c:v>4</c:v>
                </c:pt>
                <c:pt idx="3">
                  <c:v>2</c:v>
                </c:pt>
                <c:pt idx="4">
                  <c:v>8</c:v>
                </c:pt>
                <c:pt idx="5">
                  <c:v>3</c:v>
                </c:pt>
                <c:pt idx="6">
                  <c:v>2</c:v>
                </c:pt>
                <c:pt idx="7">
                  <c:v>8</c:v>
                </c:pt>
                <c:pt idx="8">
                  <c:v>3</c:v>
                </c:pt>
                <c:pt idx="9">
                  <c:v>2</c:v>
                </c:pt>
                <c:pt idx="10">
                  <c:v>8</c:v>
                </c:pt>
                <c:pt idx="11">
                  <c:v>3</c:v>
                </c:pt>
              </c:numCache>
            </c:numRef>
          </c:xVal>
          <c:yVal>
            <c:numRef>
              <c:f>'graphic (changeValue) ALLGEAR'!$BN$4:$BN$15</c:f>
              <c:numCache>
                <c:formatCode>_("$"* #,##0.00_);_("$"* \(#,##0.00\);_("$"* "-"??_);_(@_)</c:formatCode>
                <c:ptCount val="12"/>
                <c:pt idx="0">
                  <c:v>44487.636592289433</c:v>
                </c:pt>
                <c:pt idx="1">
                  <c:v>44682.313357769512</c:v>
                </c:pt>
                <c:pt idx="3">
                  <c:v>45844.227759932124</c:v>
                </c:pt>
                <c:pt idx="4">
                  <c:v>46193.867230734322</c:v>
                </c:pt>
                <c:pt idx="6">
                  <c:v>41954.944867611855</c:v>
                </c:pt>
                <c:pt idx="7">
                  <c:v>42081.617540566636</c:v>
                </c:pt>
                <c:pt idx="9">
                  <c:v>43936.085564025911</c:v>
                </c:pt>
                <c:pt idx="10">
                  <c:v>44122.985720692435</c:v>
                </c:pt>
              </c:numCache>
            </c:numRef>
          </c:yVal>
        </c:ser>
        <c:ser>
          <c:idx val="7"/>
          <c:order val="6"/>
          <c:tx>
            <c:strRef>
              <c:f>'graphic (changeValue) ALLGEAR'!$J$3</c:f>
              <c:strCache>
                <c:ptCount val="1"/>
                <c:pt idx="0">
                  <c:v>7a</c:v>
                </c:pt>
              </c:strCache>
            </c:strRef>
          </c:tx>
          <c:spPr>
            <a:ln w="28575">
              <a:noFill/>
            </a:ln>
          </c:spPr>
          <c:marker>
            <c:symbol val="none"/>
          </c:marker>
          <c:dLbls>
            <c:txPr>
              <a:bodyPr/>
              <a:lstStyle/>
              <a:p>
                <a:pPr>
                  <a:defRPr>
                    <a:solidFill>
                      <a:schemeClr val="accent4">
                        <a:lumMod val="75000"/>
                      </a:schemeClr>
                    </a:solidFill>
                  </a:defRPr>
                </a:pPr>
                <a:endParaRPr lang="en-US"/>
              </a:p>
            </c:txPr>
            <c:dLblPos val="ctr"/>
            <c:showSerName val="1"/>
          </c:dLbls>
          <c:xVal>
            <c:numRef>
              <c:f>'graphic (changeValue) ALLGEAR'!$AC$4:$AC$15</c:f>
              <c:numCache>
                <c:formatCode>0</c:formatCode>
                <c:ptCount val="12"/>
                <c:pt idx="0">
                  <c:v>74</c:v>
                </c:pt>
                <c:pt idx="1">
                  <c:v>69</c:v>
                </c:pt>
                <c:pt idx="2">
                  <c:v>71</c:v>
                </c:pt>
                <c:pt idx="3">
                  <c:v>74</c:v>
                </c:pt>
                <c:pt idx="4">
                  <c:v>69</c:v>
                </c:pt>
                <c:pt idx="5">
                  <c:v>71</c:v>
                </c:pt>
                <c:pt idx="6">
                  <c:v>74</c:v>
                </c:pt>
                <c:pt idx="7">
                  <c:v>69</c:v>
                </c:pt>
                <c:pt idx="8">
                  <c:v>71</c:v>
                </c:pt>
                <c:pt idx="9">
                  <c:v>74</c:v>
                </c:pt>
                <c:pt idx="10">
                  <c:v>69</c:v>
                </c:pt>
                <c:pt idx="11">
                  <c:v>71</c:v>
                </c:pt>
              </c:numCache>
            </c:numRef>
          </c:xVal>
          <c:yVal>
            <c:numRef>
              <c:f>'graphic (changeValue) ALLGEAR'!$BO$4:$BO$15</c:f>
              <c:numCache>
                <c:formatCode>_("$"* #,##0.00_);_("$"* \(#,##0.00\);_("$"* "-"??_);_(@_)</c:formatCode>
                <c:ptCount val="12"/>
                <c:pt idx="0">
                  <c:v>54285.491681662592</c:v>
                </c:pt>
                <c:pt idx="1">
                  <c:v>55050.402230050036</c:v>
                </c:pt>
                <c:pt idx="3">
                  <c:v>45784.458642319783</c:v>
                </c:pt>
                <c:pt idx="4">
                  <c:v>47158.237987222827</c:v>
                </c:pt>
                <c:pt idx="6">
                  <c:v>56192.064018808567</c:v>
                </c:pt>
                <c:pt idx="7">
                  <c:v>56689.777567195706</c:v>
                </c:pt>
                <c:pt idx="9">
                  <c:v>57759.436254811008</c:v>
                </c:pt>
                <c:pt idx="10">
                  <c:v>58493.791487068876</c:v>
                </c:pt>
              </c:numCache>
            </c:numRef>
          </c:yVal>
        </c:ser>
        <c:ser>
          <c:idx val="8"/>
          <c:order val="7"/>
          <c:tx>
            <c:strRef>
              <c:f>'graphic (changeValue) ALLGEAR'!$K$3</c:f>
              <c:strCache>
                <c:ptCount val="1"/>
                <c:pt idx="0">
                  <c:v>7b</c:v>
                </c:pt>
              </c:strCache>
            </c:strRef>
          </c:tx>
          <c:spPr>
            <a:ln w="28575">
              <a:noFill/>
            </a:ln>
          </c:spPr>
          <c:marker>
            <c:symbol val="none"/>
          </c:marker>
          <c:dLbls>
            <c:txPr>
              <a:bodyPr/>
              <a:lstStyle/>
              <a:p>
                <a:pPr>
                  <a:defRPr>
                    <a:solidFill>
                      <a:schemeClr val="accent4">
                        <a:lumMod val="60000"/>
                        <a:lumOff val="40000"/>
                      </a:schemeClr>
                    </a:solidFill>
                  </a:defRPr>
                </a:pPr>
                <a:endParaRPr lang="en-US"/>
              </a:p>
            </c:txPr>
            <c:dLblPos val="ctr"/>
            <c:showSerName val="1"/>
          </c:dLbls>
          <c:xVal>
            <c:numRef>
              <c:f>'graphic (changeValue) ALLGEAR'!$AD$4:$AD$15</c:f>
              <c:numCache>
                <c:formatCode>0</c:formatCode>
                <c:ptCount val="12"/>
                <c:pt idx="0">
                  <c:v>74</c:v>
                </c:pt>
                <c:pt idx="1">
                  <c:v>69</c:v>
                </c:pt>
                <c:pt idx="2">
                  <c:v>71</c:v>
                </c:pt>
                <c:pt idx="3">
                  <c:v>74</c:v>
                </c:pt>
                <c:pt idx="4">
                  <c:v>69</c:v>
                </c:pt>
                <c:pt idx="5">
                  <c:v>71</c:v>
                </c:pt>
                <c:pt idx="6">
                  <c:v>74</c:v>
                </c:pt>
                <c:pt idx="7">
                  <c:v>69</c:v>
                </c:pt>
                <c:pt idx="8">
                  <c:v>71</c:v>
                </c:pt>
                <c:pt idx="9">
                  <c:v>74</c:v>
                </c:pt>
                <c:pt idx="10">
                  <c:v>69</c:v>
                </c:pt>
                <c:pt idx="11">
                  <c:v>71</c:v>
                </c:pt>
              </c:numCache>
            </c:numRef>
          </c:xVal>
          <c:yVal>
            <c:numRef>
              <c:f>'graphic (changeValue) ALLGEAR'!$BP$4:$BP$15</c:f>
              <c:numCache>
                <c:formatCode>_("$"* #,##0.00_);_("$"* \(#,##0.00\);_("$"* "-"??_);_(@_)</c:formatCode>
                <c:ptCount val="12"/>
                <c:pt idx="0">
                  <c:v>53720.935079867486</c:v>
                </c:pt>
                <c:pt idx="1">
                  <c:v>54485.779295986533</c:v>
                </c:pt>
                <c:pt idx="3">
                  <c:v>44770.514985493413</c:v>
                </c:pt>
                <c:pt idx="4">
                  <c:v>46144.175197643177</c:v>
                </c:pt>
                <c:pt idx="6">
                  <c:v>55775.764758727688</c:v>
                </c:pt>
                <c:pt idx="7">
                  <c:v>56273.435145900075</c:v>
                </c:pt>
                <c:pt idx="9">
                  <c:v>57105.779320453526</c:v>
                </c:pt>
                <c:pt idx="10">
                  <c:v>57840.070870169671</c:v>
                </c:pt>
              </c:numCache>
            </c:numRef>
          </c:yVal>
        </c:ser>
        <c:ser>
          <c:idx val="9"/>
          <c:order val="8"/>
          <c:tx>
            <c:strRef>
              <c:f>'graphic (changeValue) ALLGEAR'!$L$3</c:f>
              <c:strCache>
                <c:ptCount val="1"/>
                <c:pt idx="0">
                  <c:v>7c</c:v>
                </c:pt>
              </c:strCache>
            </c:strRef>
          </c:tx>
          <c:spPr>
            <a:ln w="28575">
              <a:noFill/>
            </a:ln>
          </c:spPr>
          <c:marker>
            <c:symbol val="none"/>
          </c:marker>
          <c:dLbls>
            <c:txPr>
              <a:bodyPr/>
              <a:lstStyle/>
              <a:p>
                <a:pPr>
                  <a:defRPr>
                    <a:solidFill>
                      <a:schemeClr val="accent4">
                        <a:lumMod val="75000"/>
                      </a:schemeClr>
                    </a:solidFill>
                  </a:defRPr>
                </a:pPr>
                <a:endParaRPr lang="en-US"/>
              </a:p>
            </c:txPr>
            <c:dLblPos val="ctr"/>
            <c:showSerName val="1"/>
          </c:dLbls>
          <c:xVal>
            <c:numRef>
              <c:f>'graphic (changeValue) ALLGEAR'!$AE$4:$AE$15</c:f>
              <c:numCache>
                <c:formatCode>0</c:formatCode>
                <c:ptCount val="12"/>
                <c:pt idx="0">
                  <c:v>48</c:v>
                </c:pt>
                <c:pt idx="1">
                  <c:v>50</c:v>
                </c:pt>
                <c:pt idx="2">
                  <c:v>46</c:v>
                </c:pt>
                <c:pt idx="3">
                  <c:v>48</c:v>
                </c:pt>
                <c:pt idx="4">
                  <c:v>50</c:v>
                </c:pt>
                <c:pt idx="5">
                  <c:v>46</c:v>
                </c:pt>
                <c:pt idx="6">
                  <c:v>48</c:v>
                </c:pt>
                <c:pt idx="7">
                  <c:v>50</c:v>
                </c:pt>
                <c:pt idx="8">
                  <c:v>46</c:v>
                </c:pt>
                <c:pt idx="9">
                  <c:v>48</c:v>
                </c:pt>
                <c:pt idx="10">
                  <c:v>50</c:v>
                </c:pt>
                <c:pt idx="11">
                  <c:v>46</c:v>
                </c:pt>
              </c:numCache>
            </c:numRef>
          </c:xVal>
          <c:yVal>
            <c:numRef>
              <c:f>'graphic (changeValue) ALLGEAR'!$BQ$4:$BQ$15</c:f>
              <c:numCache>
                <c:formatCode>_("$"* #,##0.00_);_("$"* \(#,##0.00\);_("$"* "-"??_);_(@_)</c:formatCode>
                <c:ptCount val="12"/>
                <c:pt idx="0">
                  <c:v>50866.391061324386</c:v>
                </c:pt>
                <c:pt idx="1">
                  <c:v>51631.235277443433</c:v>
                </c:pt>
                <c:pt idx="3">
                  <c:v>48204.385354170845</c:v>
                </c:pt>
                <c:pt idx="4">
                  <c:v>49578.045566320652</c:v>
                </c:pt>
                <c:pt idx="6">
                  <c:v>50690.415620534426</c:v>
                </c:pt>
                <c:pt idx="7">
                  <c:v>51188.086007706843</c:v>
                </c:pt>
                <c:pt idx="9">
                  <c:v>50188.247562512479</c:v>
                </c:pt>
                <c:pt idx="10">
                  <c:v>50922.539112228682</c:v>
                </c:pt>
              </c:numCache>
            </c:numRef>
          </c:yVal>
        </c:ser>
        <c:ser>
          <c:idx val="10"/>
          <c:order val="9"/>
          <c:tx>
            <c:strRef>
              <c:f>'graphic (changeValue) ALLGEAR'!$M$3</c:f>
              <c:strCache>
                <c:ptCount val="1"/>
                <c:pt idx="0">
                  <c:v>8a</c:v>
                </c:pt>
              </c:strCache>
            </c:strRef>
          </c:tx>
          <c:spPr>
            <a:ln w="28575">
              <a:noFill/>
            </a:ln>
          </c:spPr>
          <c:marker>
            <c:symbol val="none"/>
          </c:marker>
          <c:dLbls>
            <c:txPr>
              <a:bodyPr/>
              <a:lstStyle/>
              <a:p>
                <a:pPr>
                  <a:defRPr>
                    <a:solidFill>
                      <a:schemeClr val="accent6">
                        <a:lumMod val="75000"/>
                      </a:schemeClr>
                    </a:solidFill>
                  </a:defRPr>
                </a:pPr>
                <a:endParaRPr lang="en-US"/>
              </a:p>
            </c:txPr>
            <c:dLblPos val="ctr"/>
            <c:showSerName val="1"/>
          </c:dLbls>
          <c:xVal>
            <c:numRef>
              <c:f>'graphic (changeValue) ALLGEAR'!$AF$4:$AF$15</c:f>
              <c:numCache>
                <c:formatCode>0</c:formatCode>
                <c:ptCount val="12"/>
                <c:pt idx="0">
                  <c:v>7</c:v>
                </c:pt>
                <c:pt idx="1">
                  <c:v>26</c:v>
                </c:pt>
                <c:pt idx="2">
                  <c:v>11</c:v>
                </c:pt>
                <c:pt idx="3">
                  <c:v>6</c:v>
                </c:pt>
                <c:pt idx="4">
                  <c:v>20</c:v>
                </c:pt>
                <c:pt idx="5">
                  <c:v>9</c:v>
                </c:pt>
                <c:pt idx="6">
                  <c:v>7</c:v>
                </c:pt>
                <c:pt idx="7">
                  <c:v>24</c:v>
                </c:pt>
                <c:pt idx="8">
                  <c:v>9</c:v>
                </c:pt>
                <c:pt idx="9">
                  <c:v>7</c:v>
                </c:pt>
                <c:pt idx="10">
                  <c:v>26</c:v>
                </c:pt>
                <c:pt idx="11">
                  <c:v>11</c:v>
                </c:pt>
              </c:numCache>
            </c:numRef>
          </c:xVal>
          <c:yVal>
            <c:numRef>
              <c:f>'graphic (changeValue) ALLGEAR'!$BR$4:$BR$15</c:f>
              <c:numCache>
                <c:formatCode>_("$"* #,##0.00_);_("$"* \(#,##0.00\);_("$"* "-"??_);_(@_)</c:formatCode>
                <c:ptCount val="12"/>
                <c:pt idx="0">
                  <c:v>43933.388580804967</c:v>
                </c:pt>
                <c:pt idx="1">
                  <c:v>44229.814633592068</c:v>
                </c:pt>
                <c:pt idx="3">
                  <c:v>52528.426019845116</c:v>
                </c:pt>
                <c:pt idx="4">
                  <c:v>53060.807210650761</c:v>
                </c:pt>
                <c:pt idx="6">
                  <c:v>50095.586825524231</c:v>
                </c:pt>
                <c:pt idx="7">
                  <c:v>50288.465931294537</c:v>
                </c:pt>
                <c:pt idx="9">
                  <c:v>46268.208749478486</c:v>
                </c:pt>
                <c:pt idx="10">
                  <c:v>46552.793689901475</c:v>
                </c:pt>
              </c:numCache>
            </c:numRef>
          </c:yVal>
        </c:ser>
        <c:ser>
          <c:idx val="12"/>
          <c:order val="10"/>
          <c:tx>
            <c:strRef>
              <c:f>'graphic (changeValue) ALLGEAR'!$N$3</c:f>
              <c:strCache>
                <c:ptCount val="1"/>
                <c:pt idx="0">
                  <c:v>8b</c:v>
                </c:pt>
              </c:strCache>
            </c:strRef>
          </c:tx>
          <c:spPr>
            <a:ln w="28575">
              <a:noFill/>
            </a:ln>
          </c:spPr>
          <c:marker>
            <c:symbol val="none"/>
          </c:marker>
          <c:dLbls>
            <c:txPr>
              <a:bodyPr/>
              <a:lstStyle/>
              <a:p>
                <a:pPr>
                  <a:defRPr>
                    <a:solidFill>
                      <a:schemeClr val="accent6">
                        <a:lumMod val="60000"/>
                        <a:lumOff val="40000"/>
                      </a:schemeClr>
                    </a:solidFill>
                  </a:defRPr>
                </a:pPr>
                <a:endParaRPr lang="en-US"/>
              </a:p>
            </c:txPr>
            <c:dLblPos val="ctr"/>
            <c:showSerName val="1"/>
          </c:dLbls>
          <c:xVal>
            <c:numRef>
              <c:f>'graphic (changeValue) ALLGEAR'!$AG$4:$AG$15</c:f>
              <c:numCache>
                <c:formatCode>0</c:formatCode>
                <c:ptCount val="12"/>
                <c:pt idx="0">
                  <c:v>48</c:v>
                </c:pt>
                <c:pt idx="1">
                  <c:v>50</c:v>
                </c:pt>
                <c:pt idx="2">
                  <c:v>46</c:v>
                </c:pt>
                <c:pt idx="3">
                  <c:v>48</c:v>
                </c:pt>
                <c:pt idx="4">
                  <c:v>50</c:v>
                </c:pt>
                <c:pt idx="5">
                  <c:v>46</c:v>
                </c:pt>
                <c:pt idx="6">
                  <c:v>48</c:v>
                </c:pt>
                <c:pt idx="7">
                  <c:v>50</c:v>
                </c:pt>
                <c:pt idx="8">
                  <c:v>46</c:v>
                </c:pt>
                <c:pt idx="9">
                  <c:v>48</c:v>
                </c:pt>
                <c:pt idx="10">
                  <c:v>50</c:v>
                </c:pt>
                <c:pt idx="11">
                  <c:v>46</c:v>
                </c:pt>
              </c:numCache>
            </c:numRef>
          </c:xVal>
          <c:yVal>
            <c:numRef>
              <c:f>'graphic (changeValue) ALLGEAR'!$BS$4:$BS$15</c:f>
              <c:numCache>
                <c:formatCode>_("$"* #,##0.00_);_("$"* \(#,##0.00\);_("$"* "-"??_);_(@_)</c:formatCode>
                <c:ptCount val="12"/>
                <c:pt idx="0">
                  <c:v>50933.474871409868</c:v>
                </c:pt>
                <c:pt idx="1">
                  <c:v>51697.987426188782</c:v>
                </c:pt>
                <c:pt idx="3">
                  <c:v>48324.867877087563</c:v>
                </c:pt>
                <c:pt idx="4">
                  <c:v>49697.93242547079</c:v>
                </c:pt>
                <c:pt idx="6">
                  <c:v>50797.485224797412</c:v>
                </c:pt>
                <c:pt idx="7">
                  <c:v>51294.939805895789</c:v>
                </c:pt>
                <c:pt idx="9">
                  <c:v>50256.307558002467</c:v>
                </c:pt>
                <c:pt idx="10">
                  <c:v>50990.280695008812</c:v>
                </c:pt>
              </c:numCache>
            </c:numRef>
          </c:yVal>
        </c:ser>
        <c:ser>
          <c:idx val="13"/>
          <c:order val="11"/>
          <c:tx>
            <c:strRef>
              <c:f>'graphic (changeValue) ALLGEAR'!$BA$3</c:f>
              <c:strCache>
                <c:ptCount val="1"/>
                <c:pt idx="0">
                  <c:v>9a</c:v>
                </c:pt>
              </c:strCache>
            </c:strRef>
          </c:tx>
          <c:spPr>
            <a:ln w="28575">
              <a:noFill/>
            </a:ln>
          </c:spPr>
          <c:marker>
            <c:symbol val="none"/>
          </c:marker>
          <c:dLbls>
            <c:txPr>
              <a:bodyPr/>
              <a:lstStyle/>
              <a:p>
                <a:pPr>
                  <a:defRPr>
                    <a:solidFill>
                      <a:schemeClr val="accent3">
                        <a:lumMod val="50000"/>
                      </a:schemeClr>
                    </a:solidFill>
                  </a:defRPr>
                </a:pPr>
                <a:endParaRPr lang="en-US"/>
              </a:p>
            </c:txPr>
            <c:dLblPos val="ctr"/>
            <c:showSerName val="1"/>
          </c:dLbls>
          <c:xVal>
            <c:numRef>
              <c:f>'graphic (changeValue) ALLGEAR'!$AH$4:$AH$15</c:f>
              <c:numCache>
                <c:formatCode>0</c:formatCode>
                <c:ptCount val="12"/>
                <c:pt idx="0">
                  <c:v>26</c:v>
                </c:pt>
                <c:pt idx="1">
                  <c:v>51</c:v>
                </c:pt>
                <c:pt idx="2">
                  <c:v>35</c:v>
                </c:pt>
                <c:pt idx="3">
                  <c:v>26</c:v>
                </c:pt>
                <c:pt idx="4">
                  <c:v>48</c:v>
                </c:pt>
                <c:pt idx="5">
                  <c:v>35</c:v>
                </c:pt>
                <c:pt idx="6">
                  <c:v>26</c:v>
                </c:pt>
                <c:pt idx="7">
                  <c:v>48</c:v>
                </c:pt>
                <c:pt idx="8">
                  <c:v>35</c:v>
                </c:pt>
                <c:pt idx="9">
                  <c:v>26</c:v>
                </c:pt>
                <c:pt idx="10">
                  <c:v>49</c:v>
                </c:pt>
                <c:pt idx="11">
                  <c:v>35</c:v>
                </c:pt>
              </c:numCache>
            </c:numRef>
          </c:xVal>
          <c:yVal>
            <c:numRef>
              <c:f>'graphic (changeValue) ALLGEAR'!$BT$4:$BT$15</c:f>
              <c:numCache>
                <c:formatCode>_("$"* #,##0.00_);_("$"* \(#,##0.00\);_("$"* "-"??_);_(@_)</c:formatCode>
                <c:ptCount val="12"/>
                <c:pt idx="0">
                  <c:v>51312.080731573027</c:v>
                </c:pt>
                <c:pt idx="1">
                  <c:v>51811.773206102429</c:v>
                </c:pt>
                <c:pt idx="3">
                  <c:v>55582.438818683862</c:v>
                </c:pt>
                <c:pt idx="4">
                  <c:v>56479.886502938847</c:v>
                </c:pt>
                <c:pt idx="6">
                  <c:v>56634.401000998681</c:v>
                </c:pt>
                <c:pt idx="7">
                  <c:v>56959.541914697271</c:v>
                </c:pt>
                <c:pt idx="9">
                  <c:v>52214.192378134001</c:v>
                </c:pt>
                <c:pt idx="10">
                  <c:v>52693.924006838133</c:v>
                </c:pt>
              </c:numCache>
            </c:numRef>
          </c:yVal>
        </c:ser>
        <c:ser>
          <c:idx val="14"/>
          <c:order val="12"/>
          <c:tx>
            <c:strRef>
              <c:f>'graphic (changeValue) ALLGEAR'!$P$3</c:f>
              <c:strCache>
                <c:ptCount val="1"/>
                <c:pt idx="0">
                  <c:v>9b</c:v>
                </c:pt>
              </c:strCache>
            </c:strRef>
          </c:tx>
          <c:spPr>
            <a:ln w="28575">
              <a:noFill/>
            </a:ln>
          </c:spPr>
          <c:marker>
            <c:symbol val="none"/>
          </c:marker>
          <c:dLbls>
            <c:txPr>
              <a:bodyPr/>
              <a:lstStyle/>
              <a:p>
                <a:pPr>
                  <a:defRPr>
                    <a:solidFill>
                      <a:schemeClr val="accent3">
                        <a:lumMod val="75000"/>
                      </a:schemeClr>
                    </a:solidFill>
                  </a:defRPr>
                </a:pPr>
                <a:endParaRPr lang="en-US"/>
              </a:p>
            </c:txPr>
            <c:dLblPos val="ctr"/>
            <c:showSerName val="1"/>
          </c:dLbls>
          <c:xVal>
            <c:numRef>
              <c:f>'graphic (changeValue) ALLGEAR'!$AI$4:$AI$15</c:f>
              <c:numCache>
                <c:formatCode>0</c:formatCode>
                <c:ptCount val="12"/>
                <c:pt idx="0">
                  <c:v>54</c:v>
                </c:pt>
                <c:pt idx="1">
                  <c:v>63</c:v>
                </c:pt>
                <c:pt idx="2">
                  <c:v>57</c:v>
                </c:pt>
                <c:pt idx="3">
                  <c:v>54</c:v>
                </c:pt>
                <c:pt idx="4">
                  <c:v>63</c:v>
                </c:pt>
                <c:pt idx="5">
                  <c:v>57</c:v>
                </c:pt>
                <c:pt idx="6">
                  <c:v>54</c:v>
                </c:pt>
                <c:pt idx="7">
                  <c:v>63</c:v>
                </c:pt>
                <c:pt idx="8">
                  <c:v>57</c:v>
                </c:pt>
                <c:pt idx="9">
                  <c:v>54</c:v>
                </c:pt>
                <c:pt idx="10">
                  <c:v>63</c:v>
                </c:pt>
                <c:pt idx="11">
                  <c:v>57</c:v>
                </c:pt>
              </c:numCache>
            </c:numRef>
          </c:xVal>
          <c:yVal>
            <c:numRef>
              <c:f>'graphic (changeValue) ALLGEAR'!$BU$4:$BU$15</c:f>
              <c:numCache>
                <c:formatCode>_("$"* #,##0.00_);_("$"* \(#,##0.00\);_("$"* "-"??_);_(@_)</c:formatCode>
                <c:ptCount val="12"/>
                <c:pt idx="0">
                  <c:v>54038.154884387513</c:v>
                </c:pt>
                <c:pt idx="1">
                  <c:v>54802.667439166638</c:v>
                </c:pt>
                <c:pt idx="3">
                  <c:v>47111.558217561811</c:v>
                </c:pt>
                <c:pt idx="4">
                  <c:v>48484.622765944994</c:v>
                </c:pt>
                <c:pt idx="6">
                  <c:v>53750.687254756689</c:v>
                </c:pt>
                <c:pt idx="7">
                  <c:v>54248.141835854862</c:v>
                </c:pt>
                <c:pt idx="9">
                  <c:v>55191.814524699519</c:v>
                </c:pt>
                <c:pt idx="10">
                  <c:v>55925.787661706076</c:v>
                </c:pt>
              </c:numCache>
            </c:numRef>
          </c:yVal>
        </c:ser>
        <c:ser>
          <c:idx val="11"/>
          <c:order val="13"/>
          <c:tx>
            <c:strRef>
              <c:f>'graphic (changeValue) ALLGEAR'!$Q$3</c:f>
              <c:strCache>
                <c:ptCount val="1"/>
                <c:pt idx="0">
                  <c:v>10</c:v>
                </c:pt>
              </c:strCache>
            </c:strRef>
          </c:tx>
          <c:spPr>
            <a:ln w="28575">
              <a:noFill/>
            </a:ln>
          </c:spPr>
          <c:marker>
            <c:symbol val="none"/>
          </c:marker>
          <c:dLbls>
            <c:txPr>
              <a:bodyPr/>
              <a:lstStyle/>
              <a:p>
                <a:pPr>
                  <a:defRPr>
                    <a:solidFill>
                      <a:schemeClr val="bg1">
                        <a:lumMod val="65000"/>
                      </a:schemeClr>
                    </a:solidFill>
                  </a:defRPr>
                </a:pPr>
                <a:endParaRPr lang="en-US"/>
              </a:p>
            </c:txPr>
            <c:dLblPos val="ctr"/>
            <c:showSerName val="1"/>
          </c:dLbls>
          <c:xVal>
            <c:numRef>
              <c:f>'graphic (changeValue) ALLGEAR'!$AJ$4:$AJ$15</c:f>
              <c:numCache>
                <c:formatCode>0</c:formatCode>
                <c:ptCount val="12"/>
                <c:pt idx="0">
                  <c:v>6</c:v>
                </c:pt>
                <c:pt idx="1">
                  <c:v>20</c:v>
                </c:pt>
                <c:pt idx="2">
                  <c:v>9</c:v>
                </c:pt>
                <c:pt idx="3">
                  <c:v>6</c:v>
                </c:pt>
                <c:pt idx="4">
                  <c:v>20</c:v>
                </c:pt>
                <c:pt idx="5">
                  <c:v>9</c:v>
                </c:pt>
                <c:pt idx="6">
                  <c:v>6</c:v>
                </c:pt>
                <c:pt idx="7">
                  <c:v>20</c:v>
                </c:pt>
                <c:pt idx="8">
                  <c:v>9</c:v>
                </c:pt>
                <c:pt idx="9">
                  <c:v>6</c:v>
                </c:pt>
                <c:pt idx="10">
                  <c:v>20</c:v>
                </c:pt>
                <c:pt idx="11">
                  <c:v>9</c:v>
                </c:pt>
              </c:numCache>
            </c:numRef>
          </c:xVal>
          <c:yVal>
            <c:numRef>
              <c:f>'graphic (changeValue) ALLGEAR'!$BV$4:$BV$15</c:f>
              <c:numCache>
                <c:formatCode>_("$"* #,##0.00_);_("$"* \(#,##0.00\);_("$"* "-"??_);_(@_)</c:formatCode>
                <c:ptCount val="12"/>
                <c:pt idx="0">
                  <c:v>50933.474871409868</c:v>
                </c:pt>
                <c:pt idx="1">
                  <c:v>51697.987426188782</c:v>
                </c:pt>
                <c:pt idx="3">
                  <c:v>48324.867877087563</c:v>
                </c:pt>
                <c:pt idx="4">
                  <c:v>49697.93242547079</c:v>
                </c:pt>
                <c:pt idx="6">
                  <c:v>50797.485224797412</c:v>
                </c:pt>
                <c:pt idx="7">
                  <c:v>51294.939805895789</c:v>
                </c:pt>
                <c:pt idx="9">
                  <c:v>50256.307558002467</c:v>
                </c:pt>
                <c:pt idx="10">
                  <c:v>50990.280695008812</c:v>
                </c:pt>
              </c:numCache>
            </c:numRef>
          </c:yVal>
        </c:ser>
        <c:ser>
          <c:idx val="1"/>
          <c:order val="14"/>
          <c:tx>
            <c:strRef>
              <c:f>'graphic (changeValue) ALLGEAR'!$AK$3</c:f>
              <c:strCache>
                <c:ptCount val="1"/>
                <c:pt idx="0">
                  <c:v>11</c:v>
                </c:pt>
              </c:strCache>
            </c:strRef>
          </c:tx>
          <c:spPr>
            <a:ln w="28575">
              <a:noFill/>
            </a:ln>
          </c:spPr>
          <c:marker>
            <c:symbol val="none"/>
          </c:marker>
          <c:dLbls>
            <c:txPr>
              <a:bodyPr/>
              <a:lstStyle/>
              <a:p>
                <a:pPr>
                  <a:defRPr>
                    <a:solidFill>
                      <a:srgbClr val="FFC000"/>
                    </a:solidFill>
                  </a:defRPr>
                </a:pPr>
                <a:endParaRPr lang="en-US"/>
              </a:p>
            </c:txPr>
            <c:dLblPos val="ctr"/>
            <c:showSerName val="1"/>
          </c:dLbls>
          <c:xVal>
            <c:numRef>
              <c:f>'graphic (changeValue) ALLGEAR'!$AK$4:$AK$15</c:f>
              <c:numCache>
                <c:formatCode>0</c:formatCode>
                <c:ptCount val="12"/>
                <c:pt idx="0">
                  <c:v>3</c:v>
                </c:pt>
                <c:pt idx="1">
                  <c:v>15</c:v>
                </c:pt>
                <c:pt idx="2">
                  <c:v>8</c:v>
                </c:pt>
                <c:pt idx="3">
                  <c:v>3</c:v>
                </c:pt>
                <c:pt idx="4">
                  <c:v>15</c:v>
                </c:pt>
                <c:pt idx="5">
                  <c:v>7</c:v>
                </c:pt>
                <c:pt idx="6">
                  <c:v>3</c:v>
                </c:pt>
                <c:pt idx="7">
                  <c:v>15</c:v>
                </c:pt>
                <c:pt idx="8">
                  <c:v>7</c:v>
                </c:pt>
                <c:pt idx="9">
                  <c:v>3</c:v>
                </c:pt>
                <c:pt idx="10">
                  <c:v>15</c:v>
                </c:pt>
                <c:pt idx="11">
                  <c:v>8</c:v>
                </c:pt>
              </c:numCache>
            </c:numRef>
          </c:xVal>
          <c:yVal>
            <c:numRef>
              <c:f>'graphic (changeValue) ALLGEAR'!$BW$4:$BW$15</c:f>
              <c:numCache>
                <c:formatCode>_("$"* #,##0.00_);_("$"* \(#,##0.00\);_("$"* "-"??_);_(@_)</c:formatCode>
                <c:ptCount val="12"/>
                <c:pt idx="0">
                  <c:v>45640.490281684994</c:v>
                </c:pt>
                <c:pt idx="1">
                  <c:v>45833.807294629281</c:v>
                </c:pt>
                <c:pt idx="3">
                  <c:v>43541.470471374036</c:v>
                </c:pt>
                <c:pt idx="4">
                  <c:v>43888.667826622026</c:v>
                </c:pt>
                <c:pt idx="6">
                  <c:v>45569.953541244613</c:v>
                </c:pt>
                <c:pt idx="7">
                  <c:v>45695.741447659137</c:v>
                </c:pt>
                <c:pt idx="9">
                  <c:v>46367.49866528553</c:v>
                </c:pt>
                <c:pt idx="10">
                  <c:v>46553.093386445427</c:v>
                </c:pt>
              </c:numCache>
            </c:numRef>
          </c:yVal>
        </c:ser>
        <c:ser>
          <c:idx val="15"/>
          <c:order val="15"/>
          <c:tx>
            <c:strRef>
              <c:f>'graphic (changeValue) ALLGEAR'!$AL$3</c:f>
              <c:strCache>
                <c:ptCount val="1"/>
                <c:pt idx="0">
                  <c:v>12</c:v>
                </c:pt>
              </c:strCache>
            </c:strRef>
          </c:tx>
          <c:spPr>
            <a:ln w="28575">
              <a:noFill/>
            </a:ln>
          </c:spPr>
          <c:marker>
            <c:symbol val="none"/>
          </c:marker>
          <c:dLbls>
            <c:txPr>
              <a:bodyPr/>
              <a:lstStyle/>
              <a:p>
                <a:pPr>
                  <a:defRPr>
                    <a:solidFill>
                      <a:srgbClr val="00B050"/>
                    </a:solidFill>
                  </a:defRPr>
                </a:pPr>
                <a:endParaRPr lang="en-US"/>
              </a:p>
            </c:txPr>
            <c:dLblPos val="ctr"/>
            <c:showSerName val="1"/>
          </c:dLbls>
          <c:xVal>
            <c:numRef>
              <c:f>'graphic (changeValue) ALLGEAR'!$AL$4:$AL$15</c:f>
              <c:numCache>
                <c:formatCode>0</c:formatCode>
                <c:ptCount val="12"/>
                <c:pt idx="0">
                  <c:v>3</c:v>
                </c:pt>
                <c:pt idx="1">
                  <c:v>14</c:v>
                </c:pt>
                <c:pt idx="2">
                  <c:v>6</c:v>
                </c:pt>
                <c:pt idx="3">
                  <c:v>3</c:v>
                </c:pt>
                <c:pt idx="4">
                  <c:v>13</c:v>
                </c:pt>
                <c:pt idx="5">
                  <c:v>4</c:v>
                </c:pt>
                <c:pt idx="6">
                  <c:v>3</c:v>
                </c:pt>
                <c:pt idx="7">
                  <c:v>13</c:v>
                </c:pt>
                <c:pt idx="8">
                  <c:v>5</c:v>
                </c:pt>
                <c:pt idx="9">
                  <c:v>3</c:v>
                </c:pt>
                <c:pt idx="10">
                  <c:v>14</c:v>
                </c:pt>
                <c:pt idx="11">
                  <c:v>6</c:v>
                </c:pt>
              </c:numCache>
            </c:numRef>
          </c:xVal>
          <c:yVal>
            <c:numRef>
              <c:f>'graphic (changeValue) ALLGEAR'!$BX$4:$BX$15</c:f>
              <c:numCache>
                <c:formatCode>_("$"* #,##0.00_);_("$"* \(#,##0.00\);_("$"* "-"??_);_(@_)</c:formatCode>
                <c:ptCount val="12"/>
                <c:pt idx="0">
                  <c:v>45722.717027325882</c:v>
                </c:pt>
                <c:pt idx="1">
                  <c:v>45956.195170203137</c:v>
                </c:pt>
                <c:pt idx="3">
                  <c:v>48491.613117131594</c:v>
                </c:pt>
                <c:pt idx="4">
                  <c:v>48910.939861739025</c:v>
                </c:pt>
                <c:pt idx="6">
                  <c:v>44941.005779009778</c:v>
                </c:pt>
                <c:pt idx="7">
                  <c:v>45092.925810975961</c:v>
                </c:pt>
                <c:pt idx="9">
                  <c:v>46940.636077279712</c:v>
                </c:pt>
                <c:pt idx="10">
                  <c:v>47164.78764140862</c:v>
                </c:pt>
              </c:numCache>
            </c:numRef>
          </c:yVal>
        </c:ser>
        <c:dLbls>
          <c:showVal val="1"/>
        </c:dLbls>
        <c:axId val="114027904"/>
        <c:axId val="114566656"/>
      </c:scatterChart>
      <c:valAx>
        <c:axId val="114027904"/>
        <c:scaling>
          <c:orientation val="minMax"/>
          <c:max val="100"/>
          <c:min val="0"/>
        </c:scaling>
        <c:axPos val="b"/>
        <c:title>
          <c:tx>
            <c:rich>
              <a:bodyPr/>
              <a:lstStyle/>
              <a:p>
                <a:pPr>
                  <a:defRPr sz="1600"/>
                </a:pPr>
                <a:r>
                  <a:rPr lang="en-US" sz="1600"/>
                  <a:t>NARW Relative Risk (NC)</a:t>
                </a:r>
              </a:p>
            </c:rich>
          </c:tx>
        </c:title>
        <c:numFmt formatCode="#,##0" sourceLinked="0"/>
        <c:tickLblPos val="nextTo"/>
        <c:txPr>
          <a:bodyPr/>
          <a:lstStyle/>
          <a:p>
            <a:pPr>
              <a:defRPr sz="1200"/>
            </a:pPr>
            <a:endParaRPr lang="en-US"/>
          </a:p>
        </c:txPr>
        <c:crossAx val="114566656"/>
        <c:crosses val="autoZero"/>
        <c:crossBetween val="midCat"/>
        <c:majorUnit val="20"/>
      </c:valAx>
      <c:valAx>
        <c:axId val="114566656"/>
        <c:scaling>
          <c:orientation val="minMax"/>
          <c:min val="40000"/>
        </c:scaling>
        <c:axPos val="l"/>
        <c:majorGridlines/>
        <c:numFmt formatCode="General" sourceLinked="1"/>
        <c:majorTickMark val="cross"/>
        <c:minorTickMark val="out"/>
        <c:tickLblPos val="none"/>
        <c:txPr>
          <a:bodyPr/>
          <a:lstStyle/>
          <a:p>
            <a:pPr>
              <a:defRPr sz="1200"/>
            </a:pPr>
            <a:endParaRPr lang="en-US"/>
          </a:p>
        </c:txPr>
        <c:crossAx val="114027904"/>
        <c:crosses val="autoZero"/>
        <c:crossBetween val="midCat"/>
      </c:valAx>
    </c:plotArea>
    <c:plotVisOnly val="1"/>
    <c:dispBlanksAs val="gap"/>
  </c:chart>
  <c:txPr>
    <a:bodyPr/>
    <a:lstStyle/>
    <a:p>
      <a:pPr>
        <a:defRPr sz="16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61A1A-DE0D-477C-B085-C9800A82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57</Pages>
  <Words>14567</Words>
  <Characters>83032</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brian.cheuvront</dc:creator>
  <cp:lastModifiedBy>SAFMC Present</cp:lastModifiedBy>
  <cp:revision>10</cp:revision>
  <cp:lastPrinted>2015-07-23T20:13:00Z</cp:lastPrinted>
  <dcterms:created xsi:type="dcterms:W3CDTF">2015-12-04T18:37:00Z</dcterms:created>
  <dcterms:modified xsi:type="dcterms:W3CDTF">2015-12-09T15:18:00Z</dcterms:modified>
</cp:coreProperties>
</file>